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DD" w:rsidRDefault="003A67DD" w:rsidP="003A67DD">
      <w:pPr>
        <w:jc w:val="center"/>
      </w:pPr>
      <w:r>
        <w:t>Rockland Estate Planning Day</w:t>
      </w:r>
    </w:p>
    <w:p w:rsidR="003A67DD" w:rsidRDefault="003A67DD" w:rsidP="003A67DD">
      <w:pPr>
        <w:jc w:val="center"/>
      </w:pPr>
    </w:p>
    <w:p w:rsidR="003A67DD" w:rsidRDefault="008F7632" w:rsidP="003A67DD">
      <w:pPr>
        <w:pStyle w:val="ListParagraph"/>
        <w:numPr>
          <w:ilvl w:val="0"/>
          <w:numId w:val="1"/>
        </w:numPr>
      </w:pPr>
      <w:r>
        <w:t>Brief history</w:t>
      </w:r>
      <w:r w:rsidR="003A67DD">
        <w:t xml:space="preserve"> of annuities</w:t>
      </w:r>
    </w:p>
    <w:p w:rsidR="003A67DD" w:rsidRDefault="003A67DD" w:rsidP="003A67DD">
      <w:pPr>
        <w:pStyle w:val="ListParagraph"/>
        <w:numPr>
          <w:ilvl w:val="1"/>
          <w:numId w:val="1"/>
        </w:numPr>
      </w:pPr>
      <w:r>
        <w:t xml:space="preserve">Growth of </w:t>
      </w:r>
      <w:r w:rsidR="008F7632">
        <w:t>individual annuity m</w:t>
      </w:r>
      <w:r>
        <w:t>arket</w:t>
      </w:r>
    </w:p>
    <w:p w:rsidR="003A67DD" w:rsidRDefault="008F7632" w:rsidP="003A67DD">
      <w:pPr>
        <w:pStyle w:val="ListParagraph"/>
        <w:numPr>
          <w:ilvl w:val="1"/>
          <w:numId w:val="1"/>
        </w:numPr>
      </w:pPr>
      <w:r>
        <w:t>Characteristics of annuity b</w:t>
      </w:r>
      <w:r w:rsidR="003A67DD">
        <w:t>uyers</w:t>
      </w:r>
    </w:p>
    <w:p w:rsidR="0052124E" w:rsidRDefault="0052124E" w:rsidP="003A67DD">
      <w:pPr>
        <w:pStyle w:val="ListParagraph"/>
        <w:numPr>
          <w:ilvl w:val="1"/>
          <w:numId w:val="1"/>
        </w:numPr>
      </w:pPr>
      <w:r>
        <w:t>Average cost of annuity contracts and riders</w:t>
      </w:r>
    </w:p>
    <w:p w:rsidR="003A67DD" w:rsidRDefault="003A67DD" w:rsidP="003A67DD">
      <w:pPr>
        <w:pStyle w:val="ListParagraph"/>
        <w:numPr>
          <w:ilvl w:val="0"/>
          <w:numId w:val="1"/>
        </w:numPr>
      </w:pPr>
      <w:r>
        <w:t>Types of Annuities</w:t>
      </w:r>
    </w:p>
    <w:p w:rsidR="003A67DD" w:rsidRDefault="003A67DD" w:rsidP="003A67DD">
      <w:pPr>
        <w:pStyle w:val="ListParagraph"/>
        <w:numPr>
          <w:ilvl w:val="1"/>
          <w:numId w:val="1"/>
        </w:numPr>
      </w:pPr>
      <w:r>
        <w:t>Varia</w:t>
      </w:r>
      <w:r w:rsidR="00186AC3">
        <w:t xml:space="preserve">ble, Fixed, Equity Indexed, </w:t>
      </w:r>
      <w:r>
        <w:t>SPIAs</w:t>
      </w:r>
      <w:r w:rsidR="00186AC3">
        <w:t>, and Structured Settlements</w:t>
      </w:r>
    </w:p>
    <w:p w:rsidR="003A67DD" w:rsidRDefault="003A67DD" w:rsidP="003A67DD">
      <w:pPr>
        <w:pStyle w:val="ListParagraph"/>
        <w:numPr>
          <w:ilvl w:val="2"/>
          <w:numId w:val="1"/>
        </w:numPr>
      </w:pPr>
      <w:r>
        <w:t>Hybrid contracts</w:t>
      </w:r>
    </w:p>
    <w:p w:rsidR="003A67DD" w:rsidRDefault="003A67DD" w:rsidP="003A67DD">
      <w:pPr>
        <w:pStyle w:val="ListParagraph"/>
        <w:numPr>
          <w:ilvl w:val="3"/>
          <w:numId w:val="1"/>
        </w:numPr>
      </w:pPr>
      <w:r>
        <w:t>Deferred Annuities with LTC rider</w:t>
      </w:r>
    </w:p>
    <w:p w:rsidR="003A67DD" w:rsidRDefault="003A67DD" w:rsidP="003A67DD">
      <w:pPr>
        <w:pStyle w:val="ListParagraph"/>
        <w:numPr>
          <w:ilvl w:val="3"/>
          <w:numId w:val="1"/>
        </w:numPr>
      </w:pPr>
      <w:r>
        <w:t>Contingent Deferred Annuities</w:t>
      </w:r>
    </w:p>
    <w:p w:rsidR="0052124E" w:rsidRDefault="0052124E" w:rsidP="003A67DD">
      <w:pPr>
        <w:pStyle w:val="ListParagraph"/>
        <w:numPr>
          <w:ilvl w:val="3"/>
          <w:numId w:val="1"/>
        </w:numPr>
      </w:pPr>
      <w:r>
        <w:t>Qualified Longevity Annuity Contract (QLAC)</w:t>
      </w:r>
    </w:p>
    <w:p w:rsidR="003A67DD" w:rsidRDefault="008F7632" w:rsidP="003A67DD">
      <w:pPr>
        <w:pStyle w:val="ListParagraph"/>
        <w:numPr>
          <w:ilvl w:val="0"/>
          <w:numId w:val="1"/>
        </w:numPr>
      </w:pPr>
      <w:r>
        <w:t>Use</w:t>
      </w:r>
      <w:r w:rsidR="003A67DD">
        <w:t xml:space="preserve"> of Annuities</w:t>
      </w:r>
    </w:p>
    <w:p w:rsidR="0052124E" w:rsidRDefault="0052124E" w:rsidP="003A67DD">
      <w:pPr>
        <w:pStyle w:val="ListParagraph"/>
        <w:numPr>
          <w:ilvl w:val="1"/>
          <w:numId w:val="1"/>
        </w:numPr>
      </w:pPr>
      <w:r>
        <w:t>Tax-deferral</w:t>
      </w:r>
    </w:p>
    <w:p w:rsidR="0052124E" w:rsidRDefault="0052124E" w:rsidP="003A67DD">
      <w:pPr>
        <w:pStyle w:val="ListParagraph"/>
        <w:numPr>
          <w:ilvl w:val="1"/>
          <w:numId w:val="1"/>
        </w:numPr>
      </w:pPr>
      <w:r>
        <w:t xml:space="preserve"> Guaranteed income</w:t>
      </w:r>
    </w:p>
    <w:p w:rsidR="003A67DD" w:rsidRDefault="008F7632" w:rsidP="003A67DD">
      <w:pPr>
        <w:pStyle w:val="ListParagraph"/>
        <w:numPr>
          <w:ilvl w:val="1"/>
          <w:numId w:val="1"/>
        </w:numPr>
      </w:pPr>
      <w:r>
        <w:t>Death benefit or legacy p</w:t>
      </w:r>
      <w:r w:rsidR="003A67DD">
        <w:t>rotection</w:t>
      </w:r>
    </w:p>
    <w:p w:rsidR="003A67DD" w:rsidRDefault="003A67DD" w:rsidP="003A67DD">
      <w:pPr>
        <w:pStyle w:val="ListParagraph"/>
        <w:numPr>
          <w:ilvl w:val="0"/>
          <w:numId w:val="1"/>
        </w:numPr>
      </w:pPr>
      <w:r>
        <w:t>Ownership of Annuities</w:t>
      </w:r>
    </w:p>
    <w:p w:rsidR="003A67DD" w:rsidRDefault="003A67DD" w:rsidP="003A67DD">
      <w:pPr>
        <w:pStyle w:val="ListParagraph"/>
        <w:numPr>
          <w:ilvl w:val="1"/>
          <w:numId w:val="1"/>
        </w:numPr>
      </w:pPr>
      <w:r>
        <w:t>Individual</w:t>
      </w:r>
    </w:p>
    <w:p w:rsidR="0052124E" w:rsidRDefault="0052124E" w:rsidP="0052124E">
      <w:pPr>
        <w:pStyle w:val="ListParagraph"/>
        <w:numPr>
          <w:ilvl w:val="2"/>
          <w:numId w:val="1"/>
        </w:numPr>
      </w:pPr>
      <w:r>
        <w:t>Who should be the annuitant?</w:t>
      </w:r>
    </w:p>
    <w:p w:rsidR="003A67DD" w:rsidRDefault="003A67DD" w:rsidP="003A67DD">
      <w:pPr>
        <w:pStyle w:val="ListParagraph"/>
        <w:numPr>
          <w:ilvl w:val="1"/>
          <w:numId w:val="1"/>
        </w:numPr>
      </w:pPr>
      <w:r>
        <w:t>Joint ownership</w:t>
      </w:r>
    </w:p>
    <w:p w:rsidR="0052124E" w:rsidRDefault="003A67DD" w:rsidP="0052124E">
      <w:pPr>
        <w:pStyle w:val="ListParagraph"/>
        <w:numPr>
          <w:ilvl w:val="1"/>
          <w:numId w:val="1"/>
        </w:numPr>
      </w:pPr>
      <w:r>
        <w:t>Entity Owned (Corporation, Trust)</w:t>
      </w:r>
    </w:p>
    <w:p w:rsidR="003A67DD" w:rsidRDefault="003A67DD" w:rsidP="003A67DD">
      <w:pPr>
        <w:pStyle w:val="ListParagraph"/>
        <w:numPr>
          <w:ilvl w:val="0"/>
          <w:numId w:val="1"/>
        </w:numPr>
      </w:pPr>
      <w:r>
        <w:t>Use of Annuities in non-qualified and qualified accounts</w:t>
      </w:r>
    </w:p>
    <w:p w:rsidR="003A67DD" w:rsidRDefault="003A67DD" w:rsidP="003A67DD">
      <w:pPr>
        <w:pStyle w:val="ListParagraph"/>
        <w:numPr>
          <w:ilvl w:val="1"/>
          <w:numId w:val="1"/>
        </w:numPr>
      </w:pPr>
      <w:r>
        <w:t>Non-qualified strategies</w:t>
      </w:r>
    </w:p>
    <w:p w:rsidR="003A67DD" w:rsidRDefault="003A67DD" w:rsidP="003A67DD">
      <w:pPr>
        <w:pStyle w:val="ListParagraph"/>
        <w:numPr>
          <w:ilvl w:val="2"/>
          <w:numId w:val="1"/>
        </w:numPr>
      </w:pPr>
      <w:r>
        <w:t>Partial annuitization</w:t>
      </w:r>
    </w:p>
    <w:p w:rsidR="003A67DD" w:rsidRDefault="003A67DD" w:rsidP="003A67DD">
      <w:pPr>
        <w:pStyle w:val="ListParagraph"/>
        <w:numPr>
          <w:ilvl w:val="2"/>
          <w:numId w:val="1"/>
        </w:numPr>
      </w:pPr>
      <w:r>
        <w:t>Partial 1035(a) exchanges</w:t>
      </w:r>
    </w:p>
    <w:p w:rsidR="00EB77C8" w:rsidRDefault="00EB77C8" w:rsidP="00EB77C8">
      <w:pPr>
        <w:pStyle w:val="ListParagraph"/>
        <w:numPr>
          <w:ilvl w:val="1"/>
          <w:numId w:val="1"/>
        </w:numPr>
      </w:pPr>
      <w:r>
        <w:t>Non-qualified annuity</w:t>
      </w:r>
      <w:r w:rsidR="008F7632">
        <w:t xml:space="preserve"> b</w:t>
      </w:r>
      <w:r>
        <w:t>eneficiary options</w:t>
      </w:r>
    </w:p>
    <w:p w:rsidR="00EB77C8" w:rsidRDefault="00EB77C8" w:rsidP="00EB77C8">
      <w:pPr>
        <w:pStyle w:val="ListParagraph"/>
        <w:numPr>
          <w:ilvl w:val="2"/>
          <w:numId w:val="1"/>
        </w:numPr>
      </w:pPr>
      <w:r>
        <w:t>Non-qualified stretch options</w:t>
      </w:r>
    </w:p>
    <w:p w:rsidR="0052124E" w:rsidRDefault="0052124E" w:rsidP="003A67DD">
      <w:pPr>
        <w:pStyle w:val="ListParagraph"/>
        <w:numPr>
          <w:ilvl w:val="2"/>
          <w:numId w:val="1"/>
        </w:numPr>
      </w:pPr>
      <w:r>
        <w:t>Post Death 1035 exchanges</w:t>
      </w:r>
    </w:p>
    <w:p w:rsidR="003A67DD" w:rsidRDefault="003A67DD" w:rsidP="003A67DD">
      <w:pPr>
        <w:pStyle w:val="ListParagraph"/>
        <w:numPr>
          <w:ilvl w:val="1"/>
          <w:numId w:val="1"/>
        </w:numPr>
      </w:pPr>
      <w:r>
        <w:t>Qualified annuities (IRAs)</w:t>
      </w:r>
    </w:p>
    <w:p w:rsidR="003A67DD" w:rsidRDefault="003A67DD" w:rsidP="003A67DD">
      <w:pPr>
        <w:pStyle w:val="ListParagraph"/>
        <w:numPr>
          <w:ilvl w:val="2"/>
          <w:numId w:val="1"/>
        </w:numPr>
      </w:pPr>
      <w:r>
        <w:t>Actuarial Value for RMDs</w:t>
      </w:r>
    </w:p>
    <w:p w:rsidR="003A67DD" w:rsidRDefault="003A67DD" w:rsidP="003A67DD">
      <w:pPr>
        <w:pStyle w:val="ListParagraph"/>
        <w:numPr>
          <w:ilvl w:val="2"/>
          <w:numId w:val="1"/>
        </w:numPr>
      </w:pPr>
      <w:r>
        <w:t>Annuity Riders in IRAs</w:t>
      </w:r>
    </w:p>
    <w:p w:rsidR="00EB77C8" w:rsidRDefault="00EB77C8" w:rsidP="00EB77C8">
      <w:pPr>
        <w:pStyle w:val="ListParagraph"/>
        <w:numPr>
          <w:ilvl w:val="1"/>
          <w:numId w:val="1"/>
        </w:numPr>
      </w:pPr>
      <w:r>
        <w:t>Qualified annuity beneficiary options</w:t>
      </w:r>
    </w:p>
    <w:p w:rsidR="00EB77C8" w:rsidRDefault="00EB77C8" w:rsidP="00EB77C8">
      <w:pPr>
        <w:pStyle w:val="ListParagraph"/>
        <w:numPr>
          <w:ilvl w:val="2"/>
          <w:numId w:val="1"/>
        </w:numPr>
      </w:pPr>
      <w:r>
        <w:t>Outlined under IRC Section 401(a)(9)</w:t>
      </w:r>
    </w:p>
    <w:p w:rsidR="0052124E" w:rsidRDefault="0052124E" w:rsidP="00186AC3">
      <w:pPr>
        <w:pStyle w:val="ListParagraph"/>
        <w:numPr>
          <w:ilvl w:val="0"/>
          <w:numId w:val="1"/>
        </w:numPr>
      </w:pPr>
      <w:r>
        <w:t>Regulation 60 – Replacement of Annuity Contracts</w:t>
      </w:r>
    </w:p>
    <w:p w:rsidR="0052124E" w:rsidRDefault="0052124E" w:rsidP="0052124E">
      <w:pPr>
        <w:pStyle w:val="ListParagraph"/>
        <w:numPr>
          <w:ilvl w:val="0"/>
          <w:numId w:val="1"/>
        </w:numPr>
      </w:pPr>
      <w:r>
        <w:t>Annuity Client Strategies</w:t>
      </w:r>
    </w:p>
    <w:p w:rsidR="0052124E" w:rsidRDefault="0052124E" w:rsidP="0052124E">
      <w:pPr>
        <w:pStyle w:val="ListParagraph"/>
        <w:numPr>
          <w:ilvl w:val="1"/>
          <w:numId w:val="1"/>
        </w:numPr>
      </w:pPr>
      <w:r>
        <w:t>Income strategies</w:t>
      </w:r>
    </w:p>
    <w:p w:rsidR="0052124E" w:rsidRDefault="00EB77C8" w:rsidP="0052124E">
      <w:pPr>
        <w:pStyle w:val="ListParagraph"/>
        <w:numPr>
          <w:ilvl w:val="2"/>
          <w:numId w:val="1"/>
        </w:numPr>
      </w:pPr>
      <w:r>
        <w:t>Partial a</w:t>
      </w:r>
      <w:r w:rsidR="0052124E">
        <w:t>nnu</w:t>
      </w:r>
      <w:r w:rsidR="00186AC3">
        <w:t>i</w:t>
      </w:r>
      <w:r w:rsidR="0052124E">
        <w:t>tization</w:t>
      </w:r>
    </w:p>
    <w:p w:rsidR="0052124E" w:rsidRDefault="0052124E" w:rsidP="0052124E">
      <w:pPr>
        <w:pStyle w:val="ListParagraph"/>
        <w:numPr>
          <w:ilvl w:val="1"/>
          <w:numId w:val="1"/>
        </w:numPr>
      </w:pPr>
      <w:r>
        <w:t>Trust as owner of annuity contract</w:t>
      </w:r>
    </w:p>
    <w:p w:rsidR="0052124E" w:rsidRDefault="0052124E" w:rsidP="0052124E">
      <w:pPr>
        <w:pStyle w:val="ListParagraph"/>
        <w:numPr>
          <w:ilvl w:val="2"/>
          <w:numId w:val="1"/>
        </w:numPr>
      </w:pPr>
      <w:r>
        <w:t>72(u) and tax-deferral</w:t>
      </w:r>
    </w:p>
    <w:p w:rsidR="0052124E" w:rsidRDefault="0052124E" w:rsidP="0052124E">
      <w:pPr>
        <w:pStyle w:val="ListParagraph"/>
        <w:numPr>
          <w:ilvl w:val="0"/>
          <w:numId w:val="1"/>
        </w:numPr>
      </w:pPr>
      <w:r>
        <w:t>Future Regulation of Annuity and Investment Products</w:t>
      </w:r>
    </w:p>
    <w:p w:rsidR="0052124E" w:rsidRDefault="0052124E" w:rsidP="0052124E">
      <w:pPr>
        <w:pStyle w:val="ListParagraph"/>
        <w:numPr>
          <w:ilvl w:val="1"/>
          <w:numId w:val="1"/>
        </w:numPr>
      </w:pPr>
      <w:r>
        <w:t>Department of Labor Fiduciary Proposal</w:t>
      </w:r>
    </w:p>
    <w:p w:rsidR="00637756" w:rsidRDefault="00637756" w:rsidP="0052124E">
      <w:pPr>
        <w:pStyle w:val="ListParagraph"/>
        <w:numPr>
          <w:ilvl w:val="1"/>
          <w:numId w:val="1"/>
        </w:numPr>
      </w:pPr>
      <w:r>
        <w:t>New York City Comptroller Proposal</w:t>
      </w:r>
    </w:p>
    <w:p w:rsidR="00637756" w:rsidRPr="003A67DD" w:rsidRDefault="00637756" w:rsidP="008F7632">
      <w:pPr>
        <w:pStyle w:val="ListParagraph"/>
        <w:ind w:left="1440"/>
      </w:pPr>
      <w:bookmarkStart w:id="0" w:name="_GoBack"/>
      <w:bookmarkEnd w:id="0"/>
    </w:p>
    <w:sectPr w:rsidR="00637756" w:rsidRPr="003A67DD" w:rsidSect="00431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0432"/>
    <w:multiLevelType w:val="hybridMultilevel"/>
    <w:tmpl w:val="59883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20"/>
  <w:characterSpacingControl w:val="doNotCompress"/>
  <w:compat/>
  <w:rsids>
    <w:rsidRoot w:val="003A67DD"/>
    <w:rsid w:val="00101787"/>
    <w:rsid w:val="0014365F"/>
    <w:rsid w:val="00186AC3"/>
    <w:rsid w:val="003A67DD"/>
    <w:rsid w:val="0043131B"/>
    <w:rsid w:val="0052124E"/>
    <w:rsid w:val="00637756"/>
    <w:rsid w:val="007B133B"/>
    <w:rsid w:val="008F7632"/>
    <w:rsid w:val="00BA6E68"/>
    <w:rsid w:val="00D07701"/>
    <w:rsid w:val="00EB77C8"/>
    <w:rsid w:val="00FE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1B"/>
  </w:style>
  <w:style w:type="paragraph" w:styleId="Heading1">
    <w:name w:val="heading 1"/>
    <w:basedOn w:val="Normal"/>
    <w:next w:val="Normal"/>
    <w:link w:val="Heading1Char"/>
    <w:uiPriority w:val="9"/>
    <w:qFormat/>
    <w:rsid w:val="003A6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A6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BF38-6445-46F1-B72D-810F923F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Lloyd</dc:creator>
  <cp:lastModifiedBy>JWK</cp:lastModifiedBy>
  <cp:revision>2</cp:revision>
  <cp:lastPrinted>2015-05-06T13:03:00Z</cp:lastPrinted>
  <dcterms:created xsi:type="dcterms:W3CDTF">2015-05-06T13:08:00Z</dcterms:created>
  <dcterms:modified xsi:type="dcterms:W3CDTF">2015-05-06T13:08:00Z</dcterms:modified>
</cp:coreProperties>
</file>