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04" w:rsidRPr="00443B68" w:rsidRDefault="003B6E04" w:rsidP="00B862D1">
      <w:pPr>
        <w:shd w:val="clear" w:color="auto" w:fill="FFFFFF"/>
        <w:rPr>
          <w:b/>
        </w:rPr>
      </w:pPr>
    </w:p>
    <w:p w:rsidR="003B6E04" w:rsidRPr="00443B68" w:rsidRDefault="003B6E04" w:rsidP="00443B68">
      <w:pPr>
        <w:shd w:val="clear" w:color="auto" w:fill="FFFFFF"/>
        <w:jc w:val="center"/>
        <w:rPr>
          <w:b/>
        </w:rPr>
      </w:pPr>
      <w:r w:rsidRPr="00443B68">
        <w:rPr>
          <w:b/>
        </w:rPr>
        <w:t>2000 Fountainview Drive</w:t>
      </w:r>
    </w:p>
    <w:p w:rsidR="003B6E04" w:rsidRPr="00443B68" w:rsidRDefault="003B6E04" w:rsidP="00443B68">
      <w:pPr>
        <w:shd w:val="clear" w:color="auto" w:fill="FFFFFF"/>
        <w:jc w:val="center"/>
        <w:rPr>
          <w:b/>
        </w:rPr>
      </w:pPr>
      <w:r w:rsidRPr="00443B68">
        <w:rPr>
          <w:b/>
        </w:rPr>
        <w:t>Monsey, New York</w:t>
      </w:r>
    </w:p>
    <w:p w:rsidR="003B6E04" w:rsidRPr="00443B68" w:rsidRDefault="003B6E04" w:rsidP="00443B68">
      <w:pPr>
        <w:shd w:val="clear" w:color="auto" w:fill="FFFFFF"/>
        <w:jc w:val="center"/>
        <w:rPr>
          <w:b/>
        </w:rPr>
      </w:pPr>
      <w:r w:rsidRPr="00443B68">
        <w:rPr>
          <w:b/>
        </w:rPr>
        <w:t>Estate Planning Day</w:t>
      </w:r>
    </w:p>
    <w:p w:rsidR="003B6E04" w:rsidRPr="00443B68" w:rsidRDefault="00293B8B" w:rsidP="00443B68">
      <w:pPr>
        <w:shd w:val="clear" w:color="auto" w:fill="FFFFFF"/>
        <w:jc w:val="center"/>
        <w:rPr>
          <w:b/>
        </w:rPr>
      </w:pPr>
      <w:r>
        <w:rPr>
          <w:b/>
        </w:rPr>
        <w:t>Rockland County Estate Pl</w:t>
      </w:r>
      <w:r w:rsidR="003B6E04" w:rsidRPr="00443B68">
        <w:rPr>
          <w:b/>
        </w:rPr>
        <w:t>anning Council</w:t>
      </w:r>
    </w:p>
    <w:p w:rsidR="003B6E04" w:rsidRPr="00443B68" w:rsidRDefault="003B6E04" w:rsidP="00443B68">
      <w:pPr>
        <w:shd w:val="clear" w:color="auto" w:fill="FFFFFF"/>
        <w:jc w:val="center"/>
        <w:rPr>
          <w:b/>
        </w:rPr>
      </w:pPr>
    </w:p>
    <w:p w:rsidR="003B6E04" w:rsidRDefault="003B6E04" w:rsidP="00443B68">
      <w:pPr>
        <w:shd w:val="clear" w:color="auto" w:fill="FFFFFF"/>
        <w:jc w:val="center"/>
        <w:rPr>
          <w:b/>
        </w:rPr>
      </w:pPr>
      <w:r w:rsidRPr="00443B68">
        <w:rPr>
          <w:b/>
        </w:rPr>
        <w:t xml:space="preserve">May 15, 2015 – </w:t>
      </w:r>
      <w:r w:rsidR="00443B68" w:rsidRPr="00443B68">
        <w:rPr>
          <w:b/>
        </w:rPr>
        <w:t>8a to Noon</w:t>
      </w:r>
    </w:p>
    <w:p w:rsidR="00443B68" w:rsidRDefault="00443B68" w:rsidP="00443B68">
      <w:pPr>
        <w:shd w:val="clear" w:color="auto" w:fill="FFFFFF"/>
        <w:jc w:val="center"/>
        <w:rPr>
          <w:b/>
        </w:rPr>
      </w:pPr>
    </w:p>
    <w:p w:rsidR="00B90180" w:rsidRDefault="00B90180" w:rsidP="00443B68">
      <w:pPr>
        <w:shd w:val="clear" w:color="auto" w:fill="FFFFFF"/>
        <w:jc w:val="center"/>
        <w:rPr>
          <w:b/>
        </w:rPr>
      </w:pPr>
    </w:p>
    <w:p w:rsidR="00443B68" w:rsidRPr="00443B68" w:rsidRDefault="00B90180" w:rsidP="00443B68">
      <w:pPr>
        <w:shd w:val="clear" w:color="auto" w:fill="FFFFFF"/>
        <w:jc w:val="center"/>
        <w:rPr>
          <w:b/>
        </w:rPr>
      </w:pPr>
      <w:r>
        <w:rPr>
          <w:b/>
        </w:rPr>
        <w:t>Discussion Agenda</w:t>
      </w:r>
    </w:p>
    <w:p w:rsidR="00443B68" w:rsidRDefault="00443B68" w:rsidP="00443B68">
      <w:pPr>
        <w:shd w:val="clear" w:color="auto" w:fill="FFFFFF"/>
        <w:rPr>
          <w:b/>
          <w:color w:val="000000"/>
        </w:rPr>
      </w:pPr>
    </w:p>
    <w:p w:rsidR="00293B8B" w:rsidRDefault="00293B8B" w:rsidP="00443B68">
      <w:pPr>
        <w:shd w:val="clear" w:color="auto" w:fill="FFFFFF"/>
        <w:rPr>
          <w:b/>
          <w:color w:val="000000"/>
        </w:rPr>
      </w:pPr>
    </w:p>
    <w:p w:rsidR="00B90180" w:rsidRDefault="009F0BDA" w:rsidP="00293B8B">
      <w:pPr>
        <w:shd w:val="clear" w:color="auto" w:fill="FFFFFF"/>
        <w:ind w:left="360" w:hanging="360"/>
        <w:jc w:val="center"/>
        <w:rPr>
          <w:b/>
          <w:color w:val="000000"/>
        </w:rPr>
      </w:pPr>
      <w:r w:rsidRPr="00293B8B">
        <w:rPr>
          <w:b/>
          <w:color w:val="000000"/>
        </w:rPr>
        <w:t>Tim</w:t>
      </w:r>
      <w:r w:rsidR="003B6E04" w:rsidRPr="00293B8B">
        <w:rPr>
          <w:b/>
          <w:color w:val="000000"/>
        </w:rPr>
        <w:t>othy Speiss, MST CPA PFS IAR</w:t>
      </w:r>
    </w:p>
    <w:p w:rsidR="00B90180" w:rsidRDefault="00B90180" w:rsidP="00293B8B">
      <w:pPr>
        <w:shd w:val="clear" w:color="auto" w:fill="FFFFFF"/>
        <w:ind w:left="360" w:hanging="360"/>
        <w:jc w:val="center"/>
        <w:rPr>
          <w:b/>
          <w:color w:val="000000"/>
        </w:rPr>
      </w:pPr>
      <w:r>
        <w:rPr>
          <w:b/>
          <w:color w:val="000000"/>
        </w:rPr>
        <w:t>Partner and Practice Leader</w:t>
      </w:r>
    </w:p>
    <w:p w:rsidR="00B90180" w:rsidRDefault="00B90180" w:rsidP="00293B8B">
      <w:pPr>
        <w:shd w:val="clear" w:color="auto" w:fill="FFFFFF"/>
        <w:ind w:left="360" w:hanging="360"/>
        <w:jc w:val="center"/>
        <w:rPr>
          <w:b/>
          <w:color w:val="000000"/>
        </w:rPr>
      </w:pPr>
      <w:r>
        <w:rPr>
          <w:b/>
          <w:color w:val="000000"/>
        </w:rPr>
        <w:t>National Personal Wealth Advisors Practice</w:t>
      </w:r>
    </w:p>
    <w:p w:rsidR="00B90180" w:rsidRDefault="00B90180" w:rsidP="00293B8B">
      <w:pPr>
        <w:shd w:val="clear" w:color="auto" w:fill="FFFFFF"/>
        <w:ind w:left="360" w:hanging="360"/>
        <w:jc w:val="center"/>
        <w:rPr>
          <w:b/>
          <w:color w:val="000000"/>
        </w:rPr>
      </w:pPr>
      <w:r>
        <w:rPr>
          <w:b/>
          <w:color w:val="000000"/>
        </w:rPr>
        <w:t>EisnerAmper LLP</w:t>
      </w:r>
    </w:p>
    <w:p w:rsidR="00B90180" w:rsidRDefault="00B90180" w:rsidP="00293B8B">
      <w:pPr>
        <w:shd w:val="clear" w:color="auto" w:fill="FFFFFF"/>
        <w:ind w:left="360" w:hanging="360"/>
        <w:jc w:val="center"/>
        <w:rPr>
          <w:b/>
          <w:color w:val="000000"/>
        </w:rPr>
      </w:pPr>
      <w:r>
        <w:rPr>
          <w:b/>
          <w:color w:val="000000"/>
        </w:rPr>
        <w:t>750 Third Avenue</w:t>
      </w:r>
    </w:p>
    <w:p w:rsidR="00B90180" w:rsidRDefault="00B90180" w:rsidP="00293B8B">
      <w:pPr>
        <w:shd w:val="clear" w:color="auto" w:fill="FFFFFF"/>
        <w:ind w:left="360" w:hanging="360"/>
        <w:jc w:val="center"/>
        <w:rPr>
          <w:b/>
          <w:color w:val="000000"/>
        </w:rPr>
      </w:pPr>
      <w:r>
        <w:rPr>
          <w:b/>
          <w:color w:val="000000"/>
        </w:rPr>
        <w:t>New York, New York 1017</w:t>
      </w:r>
    </w:p>
    <w:p w:rsidR="00B90180" w:rsidRDefault="00B90180" w:rsidP="00293B8B">
      <w:pPr>
        <w:shd w:val="clear" w:color="auto" w:fill="FFFFFF"/>
        <w:ind w:left="360" w:hanging="360"/>
        <w:jc w:val="center"/>
        <w:rPr>
          <w:b/>
          <w:color w:val="000000"/>
        </w:rPr>
      </w:pPr>
    </w:p>
    <w:p w:rsidR="00B90180" w:rsidRDefault="006B2536" w:rsidP="00293B8B">
      <w:pPr>
        <w:shd w:val="clear" w:color="auto" w:fill="FFFFFF"/>
        <w:ind w:left="360" w:hanging="360"/>
        <w:jc w:val="center"/>
        <w:rPr>
          <w:b/>
          <w:color w:val="000000"/>
        </w:rPr>
      </w:pPr>
      <w:hyperlink r:id="rId9" w:history="1">
        <w:r w:rsidR="00B90180" w:rsidRPr="000F527B">
          <w:rPr>
            <w:rStyle w:val="Hyperlink"/>
            <w:b/>
          </w:rPr>
          <w:t>Timothy.speiss@eisneramper.com</w:t>
        </w:r>
      </w:hyperlink>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862D1" w:rsidRDefault="00B862D1" w:rsidP="00293B8B">
      <w:pPr>
        <w:shd w:val="clear" w:color="auto" w:fill="FFFFFF"/>
        <w:ind w:left="360" w:hanging="360"/>
        <w:jc w:val="center"/>
        <w:rPr>
          <w:b/>
          <w:color w:val="000000"/>
        </w:rPr>
      </w:pPr>
    </w:p>
    <w:p w:rsidR="00B862D1" w:rsidRDefault="00B862D1" w:rsidP="00293B8B">
      <w:pPr>
        <w:shd w:val="clear" w:color="auto" w:fill="FFFFFF"/>
        <w:ind w:left="360" w:hanging="360"/>
        <w:jc w:val="center"/>
        <w:rPr>
          <w:b/>
          <w:color w:val="000000"/>
        </w:rPr>
      </w:pPr>
    </w:p>
    <w:p w:rsidR="00B862D1" w:rsidRDefault="00B862D1" w:rsidP="00293B8B">
      <w:pPr>
        <w:shd w:val="clear" w:color="auto" w:fill="FFFFFF"/>
        <w:ind w:left="360" w:hanging="360"/>
        <w:jc w:val="center"/>
        <w:rPr>
          <w:b/>
          <w:color w:val="000000"/>
        </w:rPr>
      </w:pPr>
    </w:p>
    <w:p w:rsidR="00B862D1" w:rsidRDefault="00B862D1"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B90180" w:rsidRDefault="00B90180" w:rsidP="00293B8B">
      <w:pPr>
        <w:shd w:val="clear" w:color="auto" w:fill="FFFFFF"/>
        <w:ind w:left="360" w:hanging="360"/>
        <w:jc w:val="center"/>
        <w:rPr>
          <w:b/>
          <w:color w:val="000000"/>
        </w:rPr>
      </w:pPr>
    </w:p>
    <w:p w:rsidR="002218ED" w:rsidRDefault="002218ED" w:rsidP="002218ED">
      <w:pPr>
        <w:jc w:val="center"/>
        <w:rPr>
          <w:rFonts w:ascii="Arial" w:eastAsia="Times New Roman" w:hAnsi="Arial" w:cs="Arial"/>
          <w:color w:val="000000"/>
          <w:sz w:val="17"/>
          <w:szCs w:val="17"/>
        </w:rPr>
      </w:pPr>
      <w:r>
        <w:rPr>
          <w:rFonts w:ascii="Arial" w:hAnsi="Arial" w:cs="Arial"/>
          <w:noProof/>
          <w:color w:val="5381AC"/>
          <w:sz w:val="17"/>
          <w:szCs w:val="17"/>
        </w:rPr>
        <w:lastRenderedPageBreak/>
        <w:drawing>
          <wp:inline distT="0" distB="0" distL="0" distR="0" wp14:anchorId="59EA4DD7" wp14:editId="1C403653">
            <wp:extent cx="2371725" cy="495300"/>
            <wp:effectExtent l="0" t="0" r="9525" b="0"/>
            <wp:docPr id="3" name="Picture 3" descr="http://www.eisneramper.com/includes/images/logo.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isneramper.com/includes/images/logo.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1725" cy="495300"/>
                    </a:xfrm>
                    <a:prstGeom prst="rect">
                      <a:avLst/>
                    </a:prstGeom>
                    <a:noFill/>
                    <a:ln>
                      <a:noFill/>
                    </a:ln>
                  </pic:spPr>
                </pic:pic>
              </a:graphicData>
            </a:graphic>
          </wp:inline>
        </w:drawing>
      </w:r>
    </w:p>
    <w:p w:rsidR="002218ED" w:rsidRDefault="002218ED" w:rsidP="00B90180">
      <w:pPr>
        <w:rPr>
          <w:rFonts w:ascii="Arial" w:eastAsia="Times New Roman" w:hAnsi="Arial" w:cs="Arial"/>
          <w:color w:val="000000"/>
          <w:sz w:val="17"/>
          <w:szCs w:val="17"/>
        </w:rPr>
      </w:pPr>
    </w:p>
    <w:p w:rsidR="002218ED" w:rsidRPr="00B90180" w:rsidRDefault="002218ED" w:rsidP="00B90180">
      <w:pPr>
        <w:rPr>
          <w:rFonts w:ascii="Arial" w:eastAsia="Times New Roman" w:hAnsi="Arial" w:cs="Arial"/>
          <w:color w:val="000000"/>
          <w:sz w:val="17"/>
          <w:szCs w:val="17"/>
        </w:rPr>
      </w:pPr>
    </w:p>
    <w:p w:rsidR="00B90180" w:rsidRDefault="00B90180" w:rsidP="00B90180">
      <w:pPr>
        <w:shd w:val="clear" w:color="auto" w:fill="FFFFFF"/>
        <w:ind w:left="360" w:hanging="360"/>
        <w:jc w:val="center"/>
        <w:rPr>
          <w:b/>
          <w:color w:val="000000"/>
        </w:rPr>
      </w:pPr>
      <w:r w:rsidRPr="00293B8B">
        <w:rPr>
          <w:b/>
          <w:color w:val="000000"/>
        </w:rPr>
        <w:t>Timothy Speiss, MST CPA PFS IAR</w:t>
      </w:r>
    </w:p>
    <w:p w:rsidR="00B90180" w:rsidRDefault="00B90180" w:rsidP="00B90180">
      <w:pPr>
        <w:shd w:val="clear" w:color="auto" w:fill="FFFFFF"/>
        <w:ind w:left="360" w:hanging="360"/>
        <w:jc w:val="center"/>
        <w:rPr>
          <w:b/>
          <w:color w:val="000000"/>
        </w:rPr>
      </w:pPr>
      <w:r>
        <w:rPr>
          <w:b/>
          <w:color w:val="000000"/>
        </w:rPr>
        <w:t>Partner and Practice Leader</w:t>
      </w:r>
    </w:p>
    <w:p w:rsidR="00B90180" w:rsidRDefault="00B90180" w:rsidP="00B90180">
      <w:pPr>
        <w:shd w:val="clear" w:color="auto" w:fill="FFFFFF"/>
        <w:ind w:left="360" w:hanging="360"/>
        <w:jc w:val="center"/>
        <w:rPr>
          <w:b/>
          <w:color w:val="000000"/>
        </w:rPr>
      </w:pPr>
      <w:r>
        <w:rPr>
          <w:b/>
          <w:color w:val="000000"/>
        </w:rPr>
        <w:t>National Personal Wealth Advisors Practice</w:t>
      </w:r>
    </w:p>
    <w:p w:rsidR="00B90180" w:rsidRDefault="00B90180" w:rsidP="00B90180">
      <w:pPr>
        <w:shd w:val="clear" w:color="auto" w:fill="FFFFFF"/>
        <w:ind w:left="360" w:hanging="360"/>
        <w:jc w:val="center"/>
        <w:rPr>
          <w:b/>
          <w:color w:val="000000"/>
        </w:rPr>
      </w:pPr>
      <w:r>
        <w:rPr>
          <w:b/>
          <w:color w:val="000000"/>
        </w:rPr>
        <w:t>EisnerAmper LLP</w:t>
      </w:r>
    </w:p>
    <w:p w:rsidR="00B90180" w:rsidRDefault="00B90180" w:rsidP="00B90180">
      <w:pPr>
        <w:shd w:val="clear" w:color="auto" w:fill="FFFFFF"/>
        <w:ind w:left="360" w:hanging="360"/>
        <w:jc w:val="center"/>
        <w:rPr>
          <w:b/>
          <w:color w:val="000000"/>
        </w:rPr>
      </w:pPr>
      <w:r>
        <w:rPr>
          <w:b/>
          <w:color w:val="000000"/>
        </w:rPr>
        <w:t>750 Third Avenue</w:t>
      </w:r>
    </w:p>
    <w:p w:rsidR="00B90180" w:rsidRDefault="00B90180" w:rsidP="00B90180">
      <w:pPr>
        <w:shd w:val="clear" w:color="auto" w:fill="FFFFFF"/>
        <w:ind w:left="360" w:hanging="360"/>
        <w:jc w:val="center"/>
        <w:rPr>
          <w:b/>
          <w:color w:val="000000"/>
        </w:rPr>
      </w:pPr>
      <w:r>
        <w:rPr>
          <w:b/>
          <w:color w:val="000000"/>
        </w:rPr>
        <w:t>New York, New York 1017</w:t>
      </w:r>
    </w:p>
    <w:p w:rsidR="00B90180" w:rsidRDefault="00B90180" w:rsidP="00B90180">
      <w:pPr>
        <w:shd w:val="clear" w:color="auto" w:fill="FFFFFF"/>
        <w:ind w:left="360" w:hanging="360"/>
        <w:jc w:val="center"/>
        <w:rPr>
          <w:b/>
          <w:color w:val="000000"/>
        </w:rPr>
      </w:pPr>
    </w:p>
    <w:p w:rsidR="00B90180" w:rsidRDefault="006B2536" w:rsidP="00B90180">
      <w:pPr>
        <w:shd w:val="clear" w:color="auto" w:fill="FFFFFF"/>
        <w:ind w:left="360" w:hanging="360"/>
        <w:jc w:val="center"/>
        <w:rPr>
          <w:b/>
          <w:color w:val="000000"/>
        </w:rPr>
      </w:pPr>
      <w:hyperlink r:id="rId12" w:history="1">
        <w:r w:rsidR="00B90180" w:rsidRPr="000F527B">
          <w:rPr>
            <w:rStyle w:val="Hyperlink"/>
            <w:b/>
          </w:rPr>
          <w:t>Timothy.speiss@eisneramper.com</w:t>
        </w:r>
      </w:hyperlink>
    </w:p>
    <w:p w:rsidR="00B90180" w:rsidRPr="00B90180" w:rsidRDefault="00B90180" w:rsidP="00B90180">
      <w:pPr>
        <w:spacing w:before="100" w:beforeAutospacing="1" w:after="100" w:afterAutospacing="1"/>
        <w:outlineLvl w:val="3"/>
        <w:rPr>
          <w:rFonts w:eastAsia="Times New Roman"/>
          <w:b/>
          <w:bCs/>
          <w:color w:val="555555"/>
          <w:sz w:val="22"/>
          <w:szCs w:val="22"/>
        </w:rPr>
      </w:pPr>
      <w:r w:rsidRPr="00B90180">
        <w:rPr>
          <w:rFonts w:eastAsia="Times New Roman"/>
          <w:b/>
          <w:bCs/>
          <w:color w:val="555555"/>
          <w:sz w:val="22"/>
          <w:szCs w:val="22"/>
        </w:rPr>
        <w:t>Certifications</w:t>
      </w:r>
      <w:r w:rsidRPr="002218ED">
        <w:rPr>
          <w:rFonts w:eastAsia="Times New Roman"/>
          <w:b/>
          <w:bCs/>
          <w:color w:val="555555"/>
          <w:sz w:val="22"/>
          <w:szCs w:val="22"/>
        </w:rPr>
        <w:t xml:space="preserve"> and Registrations</w:t>
      </w:r>
    </w:p>
    <w:p w:rsidR="00B90180" w:rsidRPr="00B90180" w:rsidRDefault="00B90180" w:rsidP="00B90180">
      <w:pPr>
        <w:numPr>
          <w:ilvl w:val="0"/>
          <w:numId w:val="18"/>
        </w:numPr>
        <w:spacing w:before="100" w:beforeAutospacing="1" w:after="100" w:afterAutospacing="1"/>
        <w:rPr>
          <w:rFonts w:eastAsia="Times New Roman"/>
          <w:color w:val="000000"/>
          <w:sz w:val="22"/>
          <w:szCs w:val="22"/>
        </w:rPr>
      </w:pPr>
      <w:r w:rsidRPr="00B90180">
        <w:rPr>
          <w:rFonts w:eastAsia="Times New Roman"/>
          <w:color w:val="000000"/>
          <w:sz w:val="22"/>
          <w:szCs w:val="22"/>
        </w:rPr>
        <w:t>Certified Public Accountant (CPA)</w:t>
      </w:r>
    </w:p>
    <w:p w:rsidR="00B90180" w:rsidRPr="002218ED" w:rsidRDefault="00B90180" w:rsidP="00B90180">
      <w:pPr>
        <w:numPr>
          <w:ilvl w:val="0"/>
          <w:numId w:val="18"/>
        </w:numPr>
        <w:spacing w:before="100" w:beforeAutospacing="1" w:after="100" w:afterAutospacing="1"/>
        <w:rPr>
          <w:rFonts w:eastAsia="Times New Roman"/>
          <w:color w:val="000000"/>
          <w:sz w:val="22"/>
          <w:szCs w:val="22"/>
        </w:rPr>
      </w:pPr>
      <w:r w:rsidRPr="00B90180">
        <w:rPr>
          <w:rFonts w:eastAsia="Times New Roman"/>
          <w:color w:val="000000"/>
          <w:sz w:val="22"/>
          <w:szCs w:val="22"/>
        </w:rPr>
        <w:t>Personal Financial Specialist (PFS)</w:t>
      </w:r>
    </w:p>
    <w:p w:rsidR="00B90180" w:rsidRPr="00B90180" w:rsidRDefault="00B90180" w:rsidP="00B90180">
      <w:pPr>
        <w:numPr>
          <w:ilvl w:val="0"/>
          <w:numId w:val="18"/>
        </w:numPr>
        <w:spacing w:before="100" w:beforeAutospacing="1" w:after="100" w:afterAutospacing="1"/>
        <w:rPr>
          <w:rFonts w:eastAsia="Times New Roman"/>
          <w:color w:val="000000"/>
          <w:sz w:val="22"/>
          <w:szCs w:val="22"/>
        </w:rPr>
      </w:pPr>
      <w:r w:rsidRPr="002218ED">
        <w:rPr>
          <w:rFonts w:eastAsia="Times New Roman"/>
          <w:color w:val="000000"/>
          <w:sz w:val="22"/>
          <w:szCs w:val="22"/>
        </w:rPr>
        <w:t>Investment Advisor Representative (IAR)</w:t>
      </w:r>
    </w:p>
    <w:p w:rsidR="00B90180" w:rsidRPr="00B90180" w:rsidRDefault="00B90180" w:rsidP="00B90180">
      <w:pPr>
        <w:spacing w:before="100" w:beforeAutospacing="1" w:after="100" w:afterAutospacing="1"/>
        <w:outlineLvl w:val="3"/>
        <w:rPr>
          <w:rFonts w:eastAsia="Times New Roman"/>
          <w:b/>
          <w:bCs/>
          <w:color w:val="555555"/>
          <w:sz w:val="22"/>
          <w:szCs w:val="22"/>
        </w:rPr>
      </w:pPr>
      <w:r w:rsidRPr="00B90180">
        <w:rPr>
          <w:rFonts w:eastAsia="Times New Roman"/>
          <w:b/>
          <w:bCs/>
          <w:color w:val="555555"/>
          <w:sz w:val="22"/>
          <w:szCs w:val="22"/>
        </w:rPr>
        <w:t>Specialties</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Individual Taxation &amp; Planning</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Estate &amp; Trust Taxation &amp; Planning</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Philanthropy &amp; Charitable Giving</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Investment Advisory Services</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Advising Closely Held Businesses &amp; Shareholders</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Advising Public Company Board Members &amp; Executives</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Family Office Services</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International Wealth Advisory Services</w:t>
      </w:r>
    </w:p>
    <w:p w:rsidR="00B90180" w:rsidRPr="00B90180" w:rsidRDefault="00B90180" w:rsidP="00B90180">
      <w:pPr>
        <w:numPr>
          <w:ilvl w:val="0"/>
          <w:numId w:val="19"/>
        </w:numPr>
        <w:spacing w:before="100" w:beforeAutospacing="1" w:after="100" w:afterAutospacing="1"/>
        <w:rPr>
          <w:rFonts w:eastAsia="Times New Roman"/>
          <w:color w:val="000000"/>
          <w:sz w:val="22"/>
          <w:szCs w:val="22"/>
        </w:rPr>
      </w:pPr>
      <w:r w:rsidRPr="00B90180">
        <w:rPr>
          <w:rFonts w:eastAsia="Times New Roman"/>
          <w:color w:val="000000"/>
          <w:sz w:val="22"/>
          <w:szCs w:val="22"/>
        </w:rPr>
        <w:t>Athletes &amp; Entertainers</w:t>
      </w:r>
    </w:p>
    <w:p w:rsidR="00B90180" w:rsidRPr="00B90180" w:rsidRDefault="00B90180" w:rsidP="00B90180">
      <w:pPr>
        <w:spacing w:before="100" w:beforeAutospacing="1" w:after="100" w:afterAutospacing="1"/>
        <w:outlineLvl w:val="3"/>
        <w:rPr>
          <w:rFonts w:eastAsia="Times New Roman"/>
          <w:b/>
          <w:bCs/>
          <w:color w:val="555555"/>
          <w:sz w:val="22"/>
          <w:szCs w:val="22"/>
        </w:rPr>
      </w:pPr>
      <w:r w:rsidRPr="00B90180">
        <w:rPr>
          <w:rFonts w:eastAsia="Times New Roman"/>
          <w:b/>
          <w:bCs/>
          <w:color w:val="555555"/>
          <w:sz w:val="22"/>
          <w:szCs w:val="22"/>
        </w:rPr>
        <w:t>Activities</w:t>
      </w:r>
    </w:p>
    <w:p w:rsidR="00B90180" w:rsidRPr="00B90180" w:rsidRDefault="00B90180" w:rsidP="00B90180">
      <w:pPr>
        <w:numPr>
          <w:ilvl w:val="0"/>
          <w:numId w:val="20"/>
        </w:numPr>
        <w:spacing w:before="100" w:beforeAutospacing="1" w:after="100" w:afterAutospacing="1"/>
        <w:rPr>
          <w:rFonts w:eastAsia="Times New Roman"/>
          <w:color w:val="000000"/>
          <w:sz w:val="22"/>
          <w:szCs w:val="22"/>
        </w:rPr>
      </w:pPr>
      <w:r w:rsidRPr="00B90180">
        <w:rPr>
          <w:rFonts w:eastAsia="Times New Roman"/>
          <w:color w:val="000000"/>
          <w:sz w:val="22"/>
          <w:szCs w:val="22"/>
        </w:rPr>
        <w:t>Widener University School of Business Advisory Board Chair</w:t>
      </w:r>
    </w:p>
    <w:p w:rsidR="00B90180" w:rsidRPr="002218ED" w:rsidRDefault="00B90180" w:rsidP="00B90180">
      <w:pPr>
        <w:numPr>
          <w:ilvl w:val="0"/>
          <w:numId w:val="20"/>
        </w:numPr>
        <w:spacing w:before="100" w:beforeAutospacing="1" w:after="100" w:afterAutospacing="1"/>
        <w:rPr>
          <w:rFonts w:eastAsia="Times New Roman"/>
          <w:color w:val="000000"/>
          <w:sz w:val="22"/>
          <w:szCs w:val="22"/>
        </w:rPr>
      </w:pPr>
      <w:r w:rsidRPr="002218ED">
        <w:rPr>
          <w:rFonts w:eastAsia="Times New Roman"/>
          <w:color w:val="000000"/>
          <w:sz w:val="22"/>
          <w:szCs w:val="22"/>
        </w:rPr>
        <w:t>U.S. Foreign Policy Association</w:t>
      </w:r>
    </w:p>
    <w:p w:rsidR="00B90180" w:rsidRPr="00B90180" w:rsidRDefault="00B90180" w:rsidP="00B90180">
      <w:pPr>
        <w:numPr>
          <w:ilvl w:val="0"/>
          <w:numId w:val="20"/>
        </w:numPr>
        <w:spacing w:before="100" w:beforeAutospacing="1" w:after="100" w:afterAutospacing="1"/>
        <w:rPr>
          <w:rFonts w:eastAsia="Times New Roman"/>
          <w:color w:val="000000"/>
          <w:sz w:val="22"/>
          <w:szCs w:val="22"/>
        </w:rPr>
      </w:pPr>
      <w:r w:rsidRPr="002218ED">
        <w:rPr>
          <w:rFonts w:eastAsia="Times New Roman"/>
          <w:color w:val="000000"/>
          <w:sz w:val="22"/>
          <w:szCs w:val="22"/>
        </w:rPr>
        <w:t>United Nations Fund to Support Global Business Principles</w:t>
      </w:r>
    </w:p>
    <w:p w:rsidR="00B90180" w:rsidRPr="00B90180" w:rsidRDefault="00B90180" w:rsidP="00B90180">
      <w:pPr>
        <w:spacing w:before="100" w:beforeAutospacing="1" w:after="100" w:afterAutospacing="1"/>
        <w:outlineLvl w:val="3"/>
        <w:rPr>
          <w:rFonts w:eastAsia="Times New Roman"/>
          <w:b/>
          <w:bCs/>
          <w:color w:val="555555"/>
          <w:sz w:val="22"/>
          <w:szCs w:val="22"/>
        </w:rPr>
      </w:pPr>
      <w:r w:rsidRPr="00B90180">
        <w:rPr>
          <w:rFonts w:eastAsia="Times New Roman"/>
          <w:b/>
          <w:bCs/>
          <w:color w:val="555555"/>
          <w:sz w:val="22"/>
          <w:szCs w:val="22"/>
        </w:rPr>
        <w:t>Office Location</w:t>
      </w:r>
      <w:r w:rsidRPr="002218ED">
        <w:rPr>
          <w:rFonts w:eastAsia="Times New Roman"/>
          <w:b/>
          <w:bCs/>
          <w:color w:val="555555"/>
          <w:sz w:val="22"/>
          <w:szCs w:val="22"/>
        </w:rPr>
        <w:t>s</w:t>
      </w:r>
    </w:p>
    <w:p w:rsidR="00B90180" w:rsidRPr="002218ED" w:rsidRDefault="00B90180" w:rsidP="00B90180">
      <w:pPr>
        <w:numPr>
          <w:ilvl w:val="0"/>
          <w:numId w:val="21"/>
        </w:numPr>
        <w:spacing w:before="100" w:beforeAutospacing="1" w:after="100" w:afterAutospacing="1"/>
        <w:rPr>
          <w:rFonts w:eastAsia="Times New Roman"/>
          <w:color w:val="000000"/>
          <w:sz w:val="22"/>
          <w:szCs w:val="22"/>
        </w:rPr>
      </w:pPr>
      <w:r w:rsidRPr="00B90180">
        <w:rPr>
          <w:rFonts w:eastAsia="Times New Roman"/>
          <w:color w:val="000000"/>
          <w:sz w:val="22"/>
          <w:szCs w:val="22"/>
        </w:rPr>
        <w:t>New York</w:t>
      </w:r>
    </w:p>
    <w:p w:rsidR="00B90180" w:rsidRPr="002218ED" w:rsidRDefault="00B90180" w:rsidP="00B90180">
      <w:pPr>
        <w:numPr>
          <w:ilvl w:val="0"/>
          <w:numId w:val="21"/>
        </w:numPr>
        <w:spacing w:before="100" w:beforeAutospacing="1" w:after="100" w:afterAutospacing="1"/>
        <w:rPr>
          <w:rFonts w:eastAsia="Times New Roman"/>
          <w:color w:val="000000"/>
          <w:sz w:val="22"/>
          <w:szCs w:val="22"/>
        </w:rPr>
      </w:pPr>
      <w:r w:rsidRPr="002218ED">
        <w:rPr>
          <w:rFonts w:eastAsia="Times New Roman"/>
          <w:color w:val="000000"/>
          <w:sz w:val="22"/>
          <w:szCs w:val="22"/>
        </w:rPr>
        <w:t>New Jersey</w:t>
      </w:r>
    </w:p>
    <w:p w:rsidR="00B90180" w:rsidRPr="002218ED" w:rsidRDefault="00B90180" w:rsidP="00B90180">
      <w:pPr>
        <w:numPr>
          <w:ilvl w:val="0"/>
          <w:numId w:val="21"/>
        </w:numPr>
        <w:spacing w:before="100" w:beforeAutospacing="1" w:after="100" w:afterAutospacing="1"/>
        <w:rPr>
          <w:rFonts w:eastAsia="Times New Roman"/>
          <w:color w:val="000000"/>
          <w:sz w:val="22"/>
          <w:szCs w:val="22"/>
        </w:rPr>
      </w:pPr>
      <w:r w:rsidRPr="002218ED">
        <w:rPr>
          <w:rFonts w:eastAsia="Times New Roman"/>
          <w:color w:val="000000"/>
          <w:sz w:val="22"/>
          <w:szCs w:val="22"/>
        </w:rPr>
        <w:t>California</w:t>
      </w:r>
    </w:p>
    <w:p w:rsidR="00B90180" w:rsidRPr="002218ED" w:rsidRDefault="00B90180" w:rsidP="00B90180">
      <w:pPr>
        <w:numPr>
          <w:ilvl w:val="0"/>
          <w:numId w:val="21"/>
        </w:numPr>
        <w:spacing w:before="100" w:beforeAutospacing="1" w:after="100" w:afterAutospacing="1"/>
        <w:rPr>
          <w:rFonts w:eastAsia="Times New Roman"/>
          <w:color w:val="000000"/>
          <w:sz w:val="22"/>
          <w:szCs w:val="22"/>
        </w:rPr>
      </w:pPr>
      <w:r w:rsidRPr="002218ED">
        <w:rPr>
          <w:rFonts w:eastAsia="Times New Roman"/>
          <w:color w:val="000000"/>
          <w:sz w:val="22"/>
          <w:szCs w:val="22"/>
        </w:rPr>
        <w:t>Illinois</w:t>
      </w:r>
    </w:p>
    <w:p w:rsidR="00B90180" w:rsidRPr="002218ED" w:rsidRDefault="00B90180" w:rsidP="00B90180">
      <w:pPr>
        <w:numPr>
          <w:ilvl w:val="0"/>
          <w:numId w:val="21"/>
        </w:numPr>
        <w:spacing w:before="100" w:beforeAutospacing="1" w:after="100" w:afterAutospacing="1"/>
        <w:rPr>
          <w:rFonts w:eastAsia="Times New Roman"/>
          <w:color w:val="000000"/>
          <w:sz w:val="22"/>
          <w:szCs w:val="22"/>
        </w:rPr>
      </w:pPr>
      <w:r w:rsidRPr="002218ED">
        <w:rPr>
          <w:rFonts w:eastAsia="Times New Roman"/>
          <w:color w:val="000000"/>
          <w:sz w:val="22"/>
          <w:szCs w:val="22"/>
        </w:rPr>
        <w:t>Pennsylvania</w:t>
      </w:r>
    </w:p>
    <w:p w:rsidR="00B90180" w:rsidRPr="002218ED" w:rsidRDefault="00B90180" w:rsidP="00B90180">
      <w:pPr>
        <w:numPr>
          <w:ilvl w:val="0"/>
          <w:numId w:val="21"/>
        </w:numPr>
        <w:spacing w:before="100" w:beforeAutospacing="1" w:after="100" w:afterAutospacing="1"/>
        <w:rPr>
          <w:rFonts w:eastAsia="Times New Roman"/>
          <w:color w:val="000000"/>
          <w:sz w:val="22"/>
          <w:szCs w:val="22"/>
        </w:rPr>
      </w:pPr>
      <w:r w:rsidRPr="002218ED">
        <w:rPr>
          <w:rFonts w:eastAsia="Times New Roman"/>
          <w:color w:val="000000"/>
          <w:sz w:val="22"/>
          <w:szCs w:val="22"/>
        </w:rPr>
        <w:t>Mumbai</w:t>
      </w:r>
    </w:p>
    <w:p w:rsidR="00B90180" w:rsidRPr="002218ED" w:rsidRDefault="00B90180" w:rsidP="00B90180">
      <w:pPr>
        <w:numPr>
          <w:ilvl w:val="0"/>
          <w:numId w:val="21"/>
        </w:numPr>
        <w:spacing w:before="100" w:beforeAutospacing="1" w:after="100" w:afterAutospacing="1"/>
        <w:rPr>
          <w:rFonts w:eastAsia="Times New Roman"/>
          <w:color w:val="000000"/>
          <w:sz w:val="22"/>
          <w:szCs w:val="22"/>
        </w:rPr>
      </w:pPr>
      <w:r w:rsidRPr="002218ED">
        <w:rPr>
          <w:rFonts w:eastAsia="Times New Roman"/>
          <w:color w:val="000000"/>
          <w:sz w:val="22"/>
          <w:szCs w:val="22"/>
        </w:rPr>
        <w:t>Cayman Islands</w:t>
      </w:r>
    </w:p>
    <w:p w:rsidR="00B90180" w:rsidRDefault="00B90180" w:rsidP="00B90180">
      <w:pPr>
        <w:spacing w:before="100" w:beforeAutospacing="1" w:after="100" w:afterAutospacing="1"/>
        <w:rPr>
          <w:rFonts w:eastAsia="Times New Roman"/>
          <w:color w:val="000000"/>
        </w:rPr>
      </w:pPr>
    </w:p>
    <w:p w:rsidR="002218ED" w:rsidRPr="002218ED" w:rsidRDefault="002218ED" w:rsidP="002218ED">
      <w:pPr>
        <w:shd w:val="clear" w:color="auto" w:fill="FFFFFF"/>
        <w:ind w:left="360" w:hanging="360"/>
        <w:jc w:val="center"/>
        <w:rPr>
          <w:b/>
          <w:sz w:val="28"/>
          <w:szCs w:val="28"/>
        </w:rPr>
      </w:pPr>
      <w:r w:rsidRPr="002218ED">
        <w:rPr>
          <w:rFonts w:eastAsia="Times New Roman"/>
          <w:b/>
          <w:sz w:val="28"/>
          <w:szCs w:val="28"/>
        </w:rPr>
        <w:lastRenderedPageBreak/>
        <w:t>About Timothy P. Speiss</w:t>
      </w:r>
    </w:p>
    <w:p w:rsidR="006D4FA6" w:rsidRDefault="00B90180" w:rsidP="00E13BCB">
      <w:pPr>
        <w:spacing w:before="100" w:beforeAutospacing="1" w:after="100" w:afterAutospacing="1"/>
        <w:rPr>
          <w:rFonts w:eastAsia="Times New Roman"/>
          <w:color w:val="000000"/>
        </w:rPr>
      </w:pPr>
      <w:r w:rsidRPr="00B90180">
        <w:rPr>
          <w:rFonts w:eastAsia="Times New Roman"/>
          <w:color w:val="000000"/>
        </w:rPr>
        <w:t>Timothy Speiss is the Partner-in-Charge of the firm’s</w:t>
      </w:r>
      <w:r w:rsidR="006D4FA6">
        <w:rPr>
          <w:rFonts w:eastAsia="Times New Roman"/>
          <w:color w:val="000000"/>
        </w:rPr>
        <w:t xml:space="preserve"> national</w:t>
      </w:r>
      <w:r w:rsidRPr="00B90180">
        <w:rPr>
          <w:rFonts w:eastAsia="Times New Roman"/>
          <w:color w:val="000000"/>
        </w:rPr>
        <w:t xml:space="preserve"> </w:t>
      </w:r>
      <w:hyperlink r:id="rId13" w:tooltip="Personal Wealth Advisors" w:history="1">
        <w:r w:rsidRPr="00B90180">
          <w:rPr>
            <w:rFonts w:eastAsia="Times New Roman"/>
          </w:rPr>
          <w:t>Personal Wealth Advisors</w:t>
        </w:r>
      </w:hyperlink>
      <w:r w:rsidRPr="006D4FA6">
        <w:rPr>
          <w:rFonts w:eastAsia="Times New Roman"/>
        </w:rPr>
        <w:t> </w:t>
      </w:r>
      <w:r>
        <w:rPr>
          <w:rFonts w:eastAsia="Times New Roman"/>
          <w:color w:val="000000"/>
        </w:rPr>
        <w:t xml:space="preserve">Practice </w:t>
      </w:r>
      <w:r w:rsidRPr="00B90180">
        <w:rPr>
          <w:rFonts w:eastAsia="Times New Roman"/>
          <w:color w:val="000000"/>
        </w:rPr>
        <w:t xml:space="preserve">and Vice President of EisnerAmper Wealth Planning LLC. He </w:t>
      </w:r>
      <w:r>
        <w:rPr>
          <w:rFonts w:eastAsia="Times New Roman"/>
          <w:color w:val="000000"/>
        </w:rPr>
        <w:t>is a member of the firm’s Executive Committee and Tax Policy Committee</w:t>
      </w:r>
      <w:r w:rsidR="006D4FA6">
        <w:rPr>
          <w:rFonts w:eastAsia="Times New Roman"/>
          <w:color w:val="000000"/>
        </w:rPr>
        <w:t>, and co-chairman of the New York Tax Practice</w:t>
      </w:r>
      <w:r>
        <w:rPr>
          <w:rFonts w:eastAsia="Times New Roman"/>
          <w:color w:val="000000"/>
        </w:rPr>
        <w:t xml:space="preserve">. </w:t>
      </w:r>
      <w:r w:rsidR="006D4FA6">
        <w:rPr>
          <w:rFonts w:eastAsia="Times New Roman"/>
          <w:color w:val="000000"/>
        </w:rPr>
        <w:t xml:space="preserve">Tim is also a member of the </w:t>
      </w:r>
      <w:r w:rsidRPr="00B90180">
        <w:rPr>
          <w:rFonts w:eastAsia="Times New Roman"/>
          <w:color w:val="000000"/>
        </w:rPr>
        <w:t>firm’s Technology Committee and Legislation M</w:t>
      </w:r>
      <w:r w:rsidR="006D4FA6">
        <w:rPr>
          <w:rFonts w:eastAsia="Times New Roman"/>
          <w:color w:val="000000"/>
        </w:rPr>
        <w:t>onitoring Group,</w:t>
      </w:r>
      <w:r w:rsidR="00E13BCB">
        <w:rPr>
          <w:rFonts w:eastAsia="Times New Roman"/>
          <w:color w:val="000000"/>
        </w:rPr>
        <w:t xml:space="preserve"> and</w:t>
      </w:r>
      <w:r w:rsidR="006D4FA6">
        <w:rPr>
          <w:rFonts w:eastAsia="Times New Roman"/>
          <w:color w:val="000000"/>
        </w:rPr>
        <w:t xml:space="preserve"> </w:t>
      </w:r>
      <w:r w:rsidRPr="00B90180">
        <w:rPr>
          <w:rFonts w:eastAsia="Times New Roman"/>
          <w:color w:val="000000"/>
        </w:rPr>
        <w:t>community service group Eisn</w:t>
      </w:r>
      <w:r w:rsidR="006D4FA6">
        <w:rPr>
          <w:rFonts w:eastAsia="Times New Roman"/>
          <w:color w:val="000000"/>
        </w:rPr>
        <w:t xml:space="preserve">erAmperCares.  </w:t>
      </w:r>
    </w:p>
    <w:p w:rsidR="00B90180" w:rsidRPr="00B90180" w:rsidRDefault="006D4FA6" w:rsidP="00B90180">
      <w:pPr>
        <w:spacing w:before="100" w:beforeAutospacing="1" w:after="100" w:afterAutospacing="1"/>
        <w:rPr>
          <w:rFonts w:eastAsia="Times New Roman"/>
          <w:color w:val="000000"/>
        </w:rPr>
      </w:pPr>
      <w:r>
        <w:rPr>
          <w:rFonts w:eastAsia="Times New Roman"/>
          <w:color w:val="000000"/>
        </w:rPr>
        <w:t>He has nearly 32</w:t>
      </w:r>
      <w:r w:rsidR="00B90180" w:rsidRPr="00B90180">
        <w:rPr>
          <w:rFonts w:eastAsia="Times New Roman"/>
          <w:color w:val="000000"/>
        </w:rPr>
        <w:t xml:space="preserve"> years of experience in providing comprehensive tax planning and related investment, compensation, and financial planning services to senior executives and board members of Fortune 100 p</w:t>
      </w:r>
      <w:r>
        <w:rPr>
          <w:rFonts w:eastAsia="Times New Roman"/>
          <w:color w:val="000000"/>
        </w:rPr>
        <w:t>ublicly held companies, Forbes 1</w:t>
      </w:r>
      <w:r w:rsidR="00B90180" w:rsidRPr="00B90180">
        <w:rPr>
          <w:rFonts w:eastAsia="Times New Roman"/>
          <w:color w:val="000000"/>
        </w:rPr>
        <w:t>00 families, and privately held businesses and owners including celebrities and owners of professional sports teams.  Prior to joining EisnerAmper, he was a partner with a Big Four firm and served as Partner-in Charge of their New York Metro and Northeast Area Private Client Advisory Practice.</w:t>
      </w:r>
    </w:p>
    <w:p w:rsidR="00B90180" w:rsidRPr="00B90180" w:rsidRDefault="00B90180" w:rsidP="00B90180">
      <w:pPr>
        <w:spacing w:before="100" w:beforeAutospacing="1" w:after="100" w:afterAutospacing="1"/>
        <w:rPr>
          <w:rFonts w:eastAsia="Times New Roman"/>
          <w:color w:val="000000"/>
        </w:rPr>
      </w:pPr>
      <w:r w:rsidRPr="00B90180">
        <w:rPr>
          <w:rFonts w:eastAsia="Times New Roman"/>
          <w:color w:val="000000"/>
        </w:rPr>
        <w:t xml:space="preserve">Tim is a frequent speaker and author on topics of tax and financial planning, executive compensation, charitable giving, and related matters. He has lectured in various university graduate programs and regularly provides commentary on tax and investment and legislative matters to television, radio, and print media. </w:t>
      </w:r>
      <w:r w:rsidR="006D4FA6">
        <w:rPr>
          <w:rFonts w:eastAsia="Times New Roman"/>
          <w:color w:val="000000"/>
        </w:rPr>
        <w:t xml:space="preserve">Tim is also the editor of </w:t>
      </w:r>
      <w:r w:rsidRPr="00B90180">
        <w:rPr>
          <w:rFonts w:eastAsia="Times New Roman"/>
          <w:color w:val="000000"/>
        </w:rPr>
        <w:t xml:space="preserve">EisnerAmper LLP Personal Wealth Advisors </w:t>
      </w:r>
      <w:r w:rsidR="006D4FA6">
        <w:rPr>
          <w:rFonts w:eastAsia="Times New Roman"/>
          <w:color w:val="000000"/>
        </w:rPr>
        <w:t>Knowledge of Wealth</w:t>
      </w:r>
      <w:r w:rsidRPr="00B90180">
        <w:rPr>
          <w:rFonts w:eastAsia="Times New Roman"/>
          <w:color w:val="000000"/>
        </w:rPr>
        <w:t>.</w:t>
      </w:r>
    </w:p>
    <w:p w:rsidR="00B90180" w:rsidRPr="00B90180" w:rsidRDefault="006D4FA6" w:rsidP="00B90180">
      <w:pPr>
        <w:spacing w:before="100" w:beforeAutospacing="1" w:after="100" w:afterAutospacing="1"/>
        <w:rPr>
          <w:rFonts w:eastAsia="Times New Roman"/>
          <w:color w:val="000000"/>
        </w:rPr>
      </w:pPr>
      <w:r>
        <w:rPr>
          <w:rFonts w:eastAsia="Times New Roman"/>
          <w:color w:val="000000"/>
        </w:rPr>
        <w:t xml:space="preserve">He </w:t>
      </w:r>
      <w:r w:rsidR="00B90180" w:rsidRPr="00B90180">
        <w:rPr>
          <w:rFonts w:eastAsia="Times New Roman"/>
          <w:color w:val="000000"/>
        </w:rPr>
        <w:t>was a staff assistant to a former U.S. Congressman and has attended U.S. Treasury hearings on various matters of federal taxation.  He is a member of the United States Foreign Policy Association (U.S. FPA), has been cited as an Outstanding New York Businessperson by a U.S. Senate Subcommittee, and is the founder of the Timothy Speiss Endowed Fund For the Promotion of United Nations Responsible Global Business Principles at Widener University.  Tim serves on the boards of, and regularly advises, numerous charitable and educational organizations and capital campaign initiatives.   His involvement includes the Trustee, Finance and Development Committees of the Harlem Academy; Board Chair (Manhattan) of the Abingdon Theatre Company</w:t>
      </w:r>
      <w:r w:rsidR="00B90180" w:rsidRPr="00B90180">
        <w:rPr>
          <w:color w:val="000000"/>
        </w:rPr>
        <w:t xml:space="preserve"> Corporate Development Committee of the Alliance for Lupus Research; and Chair of the Bishop McDevitt High School President’s Advisory Board.  Tim graduated from Widener University with a B.S. in Business and M.S.</w:t>
      </w:r>
      <w:r>
        <w:rPr>
          <w:color w:val="000000"/>
        </w:rPr>
        <w:t xml:space="preserve"> in Taxation.</w:t>
      </w:r>
    </w:p>
    <w:p w:rsidR="00B90180" w:rsidRPr="002218ED" w:rsidRDefault="002218ED" w:rsidP="00B90180">
      <w:pPr>
        <w:shd w:val="clear" w:color="auto" w:fill="FFFFFF"/>
        <w:ind w:left="360" w:hanging="360"/>
        <w:jc w:val="center"/>
        <w:rPr>
          <w:b/>
          <w:sz w:val="28"/>
          <w:szCs w:val="28"/>
        </w:rPr>
      </w:pPr>
      <w:r w:rsidRPr="002218ED">
        <w:rPr>
          <w:rFonts w:eastAsia="Times New Roman"/>
          <w:b/>
          <w:sz w:val="28"/>
          <w:szCs w:val="28"/>
        </w:rPr>
        <w:t>About EisnerAmper LLP</w:t>
      </w:r>
    </w:p>
    <w:p w:rsidR="00E32863" w:rsidRDefault="00E32863" w:rsidP="002218ED">
      <w:pPr>
        <w:spacing w:before="100" w:beforeAutospacing="1" w:after="100" w:afterAutospacing="1"/>
        <w:rPr>
          <w:rFonts w:eastAsia="Times New Roman"/>
        </w:rPr>
      </w:pPr>
    </w:p>
    <w:p w:rsidR="002218ED" w:rsidRPr="002218ED" w:rsidRDefault="00E32863" w:rsidP="002218ED">
      <w:pPr>
        <w:spacing w:before="100" w:beforeAutospacing="1" w:after="100" w:afterAutospacing="1"/>
        <w:rPr>
          <w:rFonts w:eastAsia="Times New Roman"/>
        </w:rPr>
      </w:pPr>
      <w:r>
        <w:rPr>
          <w:rFonts w:eastAsia="Times New Roman"/>
        </w:rPr>
        <w:t>E</w:t>
      </w:r>
      <w:r w:rsidR="002218ED" w:rsidRPr="002218ED">
        <w:rPr>
          <w:rFonts w:eastAsia="Times New Roman"/>
        </w:rPr>
        <w:t xml:space="preserve">isnerAmper offers responsive accounting, consulting and </w:t>
      </w:r>
      <w:hyperlink r:id="rId14" w:history="1">
        <w:r w:rsidR="002218ED" w:rsidRPr="002218ED">
          <w:rPr>
            <w:rFonts w:eastAsia="Times New Roman"/>
          </w:rPr>
          <w:t>tax services</w:t>
        </w:r>
      </w:hyperlink>
      <w:r w:rsidR="002218ED" w:rsidRPr="002218ED">
        <w:rPr>
          <w:rFonts w:eastAsia="Times New Roman"/>
        </w:rPr>
        <w:t xml:space="preserve"> with an entrepreneurial focus, providing clients with smart, analytical insights delivered in an approachable style. Firm professionals build strong client relationships based on open communication with each client, and believe that the trust clients put in them is paramount. </w:t>
      </w:r>
      <w:r w:rsidR="004366CD">
        <w:rPr>
          <w:rFonts w:eastAsia="Times New Roman"/>
        </w:rPr>
        <w:t xml:space="preserve">In February 2015 </w:t>
      </w:r>
      <w:r w:rsidR="004366CD">
        <w:rPr>
          <w:color w:val="000000"/>
        </w:rPr>
        <w:t xml:space="preserve">the firm was </w:t>
      </w:r>
      <w:r w:rsidR="002218ED" w:rsidRPr="002218ED">
        <w:rPr>
          <w:color w:val="000000"/>
        </w:rPr>
        <w:t>named the overall winner of Institutional Investor’s Alpha Awards for hedge fund service providers in accounting. EisnerAmper was the highest ranked accounting firm, best equipped to help managers navigate turbulent markets and complex regulations, in each of the five aspects of service: audit, client service, hedge fund expertise, regulatory &amp;</w:t>
      </w:r>
      <w:r w:rsidR="004366CD">
        <w:rPr>
          <w:color w:val="000000"/>
        </w:rPr>
        <w:t xml:space="preserve"> compliance, and tax.</w:t>
      </w:r>
      <w:r w:rsidR="002218ED" w:rsidRPr="002218ED">
        <w:rPr>
          <w:color w:val="000000"/>
        </w:rPr>
        <w:t xml:space="preserve"> </w:t>
      </w:r>
      <w:r w:rsidR="002218ED" w:rsidRPr="002218ED">
        <w:rPr>
          <w:rFonts w:eastAsia="Times New Roman"/>
        </w:rPr>
        <w:t xml:space="preserve">Every </w:t>
      </w:r>
      <w:r w:rsidR="002218ED" w:rsidRPr="002218ED">
        <w:rPr>
          <w:rFonts w:eastAsia="Times New Roman"/>
        </w:rPr>
        <w:lastRenderedPageBreak/>
        <w:t xml:space="preserve">member of the EisnerAmper team is passionate about rolling up their sleeves and working hard to help clients get down to the business of building success. Our accounting firm works with enterprises as diverse as sophisticated financial institutions and start-ups, global public companies and middle-market companies; as well as high net worth individuals, family offices, </w:t>
      </w:r>
      <w:hyperlink r:id="rId15" w:tooltip="not-for-profit organizations" w:history="1">
        <w:r w:rsidR="002218ED" w:rsidRPr="002218ED">
          <w:rPr>
            <w:rFonts w:eastAsia="Times New Roman"/>
          </w:rPr>
          <w:t>not-for-profit organizations</w:t>
        </w:r>
      </w:hyperlink>
      <w:r w:rsidR="002218ED" w:rsidRPr="002218ED">
        <w:rPr>
          <w:rFonts w:eastAsia="Times New Roman"/>
        </w:rPr>
        <w:t>, and entrepreneurial ventures across a variety of industries. </w:t>
      </w:r>
    </w:p>
    <w:p w:rsidR="002218ED" w:rsidRPr="002218ED" w:rsidRDefault="002218ED" w:rsidP="002218ED">
      <w:pPr>
        <w:spacing w:before="100" w:beforeAutospacing="1" w:after="100" w:afterAutospacing="1"/>
        <w:rPr>
          <w:rFonts w:eastAsia="Times New Roman"/>
        </w:rPr>
      </w:pPr>
      <w:r w:rsidRPr="002218ED">
        <w:rPr>
          <w:rFonts w:eastAsia="Times New Roman"/>
        </w:rPr>
        <w:t xml:space="preserve">EisnerAmper is one of the largest </w:t>
      </w:r>
      <w:hyperlink r:id="rId16" w:tooltip="accounting firms " w:history="1">
        <w:r w:rsidRPr="002218ED">
          <w:rPr>
            <w:rFonts w:eastAsia="Times New Roman"/>
          </w:rPr>
          <w:t xml:space="preserve">accounting firms </w:t>
        </w:r>
      </w:hyperlink>
      <w:r w:rsidRPr="002218ED">
        <w:rPr>
          <w:rFonts w:eastAsia="Times New Roman"/>
        </w:rPr>
        <w:t xml:space="preserve">in the nation with nearly 1,200 employees, including 180 partners. The firm is PCAOB-registered and provides public companies with audit, tax, internal audit, </w:t>
      </w:r>
      <w:hyperlink r:id="rId17" w:tooltip="pension audit" w:history="1">
        <w:r w:rsidRPr="002218ED">
          <w:rPr>
            <w:rFonts w:eastAsia="Times New Roman"/>
          </w:rPr>
          <w:t>pension audit</w:t>
        </w:r>
      </w:hyperlink>
      <w:r w:rsidRPr="002218ED">
        <w:rPr>
          <w:rFonts w:eastAsia="Times New Roman"/>
        </w:rPr>
        <w:t>, executive compensation review and a variety of other services. The firm maintains offices throughout New York (NY), New Jersey (NJ), Pennsylvania (PA), California (CA), and the Cayman Islands.  EisnerAmper is a member of PKF North America, an accounting firm association with independent members throughout the US, Canada and Mexico.  PKF North America is an independent member of PKF International, a worldwide association of accounting and advisory firms in over 125 countries, enabling us to provide clients with the worldwide resources they often need.</w:t>
      </w:r>
    </w:p>
    <w:p w:rsidR="002218ED" w:rsidRPr="002218ED" w:rsidRDefault="002218ED" w:rsidP="002218ED">
      <w:pPr>
        <w:spacing w:before="100" w:beforeAutospacing="1" w:after="100" w:afterAutospacing="1"/>
        <w:rPr>
          <w:rFonts w:eastAsia="Times New Roman"/>
        </w:rPr>
      </w:pPr>
      <w:r w:rsidRPr="002218ED">
        <w:rPr>
          <w:rFonts w:eastAsia="Times New Roman"/>
        </w:rPr>
        <w:t>Recognized internationally as one of the premier firms providing advisory, </w:t>
      </w:r>
      <w:hyperlink r:id="rId18" w:tooltip="audit" w:history="1">
        <w:r w:rsidRPr="002218ED">
          <w:rPr>
            <w:rFonts w:eastAsia="Times New Roman"/>
          </w:rPr>
          <w:t>audit</w:t>
        </w:r>
      </w:hyperlink>
      <w:r w:rsidRPr="002218ED">
        <w:rPr>
          <w:rFonts w:eastAsia="Times New Roman"/>
        </w:rPr>
        <w:t xml:space="preserve">, and </w:t>
      </w:r>
      <w:hyperlink r:id="rId19" w:tooltip="tax " w:history="1">
        <w:r w:rsidRPr="002218ED">
          <w:rPr>
            <w:rFonts w:eastAsia="Times New Roman"/>
          </w:rPr>
          <w:t>tax services</w:t>
        </w:r>
      </w:hyperlink>
      <w:r w:rsidRPr="002218ED">
        <w:rPr>
          <w:rFonts w:eastAsia="Times New Roman"/>
        </w:rPr>
        <w:t xml:space="preserve"> to </w:t>
      </w:r>
      <w:hyperlink r:id="rId20" w:tooltip="financial services " w:history="1">
        <w:r w:rsidRPr="002218ED">
          <w:rPr>
            <w:rFonts w:eastAsia="Times New Roman"/>
          </w:rPr>
          <w:t xml:space="preserve">financial services </w:t>
        </w:r>
      </w:hyperlink>
      <w:r w:rsidRPr="002218ED">
        <w:rPr>
          <w:rFonts w:eastAsia="Times New Roman"/>
        </w:rPr>
        <w:t xml:space="preserve">entities and portfolio companies, EisnerAmper serves more than 1,200 </w:t>
      </w:r>
      <w:hyperlink r:id="rId21" w:tooltip="hedge funds" w:history="1">
        <w:r w:rsidRPr="002218ED">
          <w:rPr>
            <w:rFonts w:eastAsia="Times New Roman"/>
          </w:rPr>
          <w:t>hedge funds</w:t>
        </w:r>
      </w:hyperlink>
      <w:r w:rsidRPr="002218ED">
        <w:rPr>
          <w:rFonts w:eastAsia="Times New Roman"/>
        </w:rPr>
        <w:t>, 175 </w:t>
      </w:r>
      <w:hyperlink r:id="rId22" w:tooltip="private equity " w:history="1">
        <w:r w:rsidRPr="002218ED">
          <w:rPr>
            <w:rFonts w:eastAsia="Times New Roman"/>
          </w:rPr>
          <w:t xml:space="preserve">private equity </w:t>
        </w:r>
      </w:hyperlink>
      <w:r w:rsidRPr="002218ED">
        <w:rPr>
          <w:rFonts w:eastAsia="Times New Roman"/>
        </w:rPr>
        <w:t xml:space="preserve">funds and other fund entities. The firm works with more than 75 broker-dealers serving investment banks and retail brokerages. EisnerAmper was recognized by Institutional Investor as the leading accounting services provider to hedge fund managers and also provides services to more than 150 </w:t>
      </w:r>
      <w:hyperlink r:id="rId23" w:tooltip="insurance entities" w:history="1">
        <w:r w:rsidRPr="002218ED">
          <w:rPr>
            <w:rFonts w:eastAsia="Times New Roman"/>
          </w:rPr>
          <w:t>insurance entities</w:t>
        </w:r>
      </w:hyperlink>
      <w:r w:rsidRPr="002218ED">
        <w:rPr>
          <w:rFonts w:eastAsia="Times New Roman"/>
        </w:rPr>
        <w:t>. </w:t>
      </w:r>
    </w:p>
    <w:p w:rsidR="002218ED" w:rsidRPr="002218ED" w:rsidRDefault="002218ED" w:rsidP="002218ED">
      <w:pPr>
        <w:spacing w:before="100" w:beforeAutospacing="1" w:after="100" w:afterAutospacing="1"/>
        <w:rPr>
          <w:rFonts w:eastAsia="Times New Roman"/>
        </w:rPr>
      </w:pPr>
      <w:r w:rsidRPr="002218ED">
        <w:rPr>
          <w:rFonts w:eastAsia="Times New Roman"/>
        </w:rPr>
        <w:t xml:space="preserve">EisnerAmper‘s knowledge of the capital markets helps clients seeking advice on issues such as mergers and acquisitions, debt financing, IPOs, international expansion, valuation, due diligence and restructuring. In addition, the firm provides full audit services to clients with off-shore needs through PKF Cayman. </w:t>
      </w:r>
    </w:p>
    <w:p w:rsidR="002218ED" w:rsidRPr="002218ED" w:rsidRDefault="002218ED" w:rsidP="002218ED">
      <w:pPr>
        <w:spacing w:before="100" w:beforeAutospacing="1" w:after="100" w:afterAutospacing="1"/>
        <w:rPr>
          <w:rFonts w:eastAsia="Times New Roman"/>
        </w:rPr>
      </w:pPr>
      <w:r w:rsidRPr="002218ED">
        <w:rPr>
          <w:rFonts w:eastAsia="Times New Roman"/>
        </w:rPr>
        <w:t xml:space="preserve">The firm provides a comprehensive set of private business services to closely held companies, high net worth individuals and families including tax planning and compliance, investment planning, </w:t>
      </w:r>
      <w:hyperlink r:id="rId24" w:tooltip="international wealth advisory" w:history="1">
        <w:r w:rsidRPr="002218ED">
          <w:rPr>
            <w:rFonts w:eastAsia="Times New Roman"/>
          </w:rPr>
          <w:t>international wealth advisory</w:t>
        </w:r>
      </w:hyperlink>
      <w:r w:rsidRPr="002218ED">
        <w:rPr>
          <w:rFonts w:eastAsia="Times New Roman"/>
        </w:rPr>
        <w:t xml:space="preserve"> services, risk management, trusts and </w:t>
      </w:r>
      <w:hyperlink r:id="rId25" w:tooltip="estate planning" w:history="1">
        <w:r w:rsidRPr="002218ED">
          <w:rPr>
            <w:rFonts w:eastAsia="Times New Roman"/>
          </w:rPr>
          <w:t>estate planning</w:t>
        </w:r>
      </w:hyperlink>
      <w:r w:rsidRPr="002218ED">
        <w:rPr>
          <w:rFonts w:eastAsia="Times New Roman"/>
        </w:rPr>
        <w:t xml:space="preserve">, cash flow and asset protection planning. </w:t>
      </w:r>
    </w:p>
    <w:p w:rsidR="002218ED" w:rsidRPr="002218ED" w:rsidRDefault="002218ED" w:rsidP="002218ED">
      <w:pPr>
        <w:spacing w:before="100" w:beforeAutospacing="1" w:after="100" w:afterAutospacing="1"/>
        <w:rPr>
          <w:rFonts w:eastAsia="Times New Roman"/>
        </w:rPr>
      </w:pPr>
      <w:r w:rsidRPr="002218ED">
        <w:rPr>
          <w:rFonts w:eastAsia="Times New Roman"/>
        </w:rPr>
        <w:t xml:space="preserve">EisnerAmper professionals have significant breadth and depth of knowledge in key service areas including </w:t>
      </w:r>
      <w:hyperlink r:id="rId26" w:tooltip="consulting services " w:history="1">
        <w:r w:rsidRPr="002218ED">
          <w:rPr>
            <w:rFonts w:eastAsia="Times New Roman"/>
          </w:rPr>
          <w:t xml:space="preserve">consulting services </w:t>
        </w:r>
      </w:hyperlink>
      <w:r w:rsidRPr="002218ED">
        <w:rPr>
          <w:rFonts w:eastAsia="Times New Roman"/>
        </w:rPr>
        <w:t xml:space="preserve">comprised of </w:t>
      </w:r>
      <w:hyperlink r:id="rId27" w:tooltip="internal audit" w:history="1">
        <w:r w:rsidRPr="002218ED">
          <w:rPr>
            <w:rFonts w:eastAsia="Times New Roman"/>
          </w:rPr>
          <w:t>internal audit</w:t>
        </w:r>
      </w:hyperlink>
      <w:r w:rsidRPr="002218ED">
        <w:rPr>
          <w:rFonts w:eastAsia="Times New Roman"/>
        </w:rPr>
        <w:t xml:space="preserve">, risk management, information technology and compliance. Other primary service lines include asset and business valuation, </w:t>
      </w:r>
      <w:hyperlink r:id="rId28" w:tooltip="international tax" w:history="1">
        <w:r w:rsidRPr="002218ED">
          <w:rPr>
            <w:rFonts w:eastAsia="Times New Roman"/>
          </w:rPr>
          <w:t>international tax</w:t>
        </w:r>
      </w:hyperlink>
      <w:r w:rsidRPr="002218ED">
        <w:rPr>
          <w:rFonts w:eastAsia="Times New Roman"/>
        </w:rPr>
        <w:t xml:space="preserve">, </w:t>
      </w:r>
      <w:hyperlink r:id="rId29" w:tooltip="human capital advisory" w:history="1">
        <w:r w:rsidRPr="002218ED">
          <w:rPr>
            <w:rFonts w:eastAsia="Times New Roman"/>
          </w:rPr>
          <w:t>human capital advisory</w:t>
        </w:r>
      </w:hyperlink>
      <w:r w:rsidRPr="002218ED">
        <w:rPr>
          <w:rFonts w:eastAsia="Times New Roman"/>
        </w:rPr>
        <w:t xml:space="preserve">, </w:t>
      </w:r>
      <w:hyperlink r:id="rId30" w:tooltip="employee benefit plan audit" w:history="1">
        <w:r w:rsidRPr="002218ED">
          <w:rPr>
            <w:rFonts w:eastAsia="Times New Roman"/>
          </w:rPr>
          <w:t>employee benefit plan audits</w:t>
        </w:r>
      </w:hyperlink>
      <w:r w:rsidRPr="002218ED">
        <w:rPr>
          <w:rFonts w:eastAsia="Times New Roman"/>
        </w:rPr>
        <w:t xml:space="preserve">, </w:t>
      </w:r>
      <w:hyperlink r:id="rId31" w:tgtFrame="_blank" w:tooltip="fund services" w:history="1">
        <w:r w:rsidRPr="002218ED">
          <w:rPr>
            <w:rFonts w:eastAsia="Times New Roman"/>
          </w:rPr>
          <w:t>fund services</w:t>
        </w:r>
      </w:hyperlink>
      <w:r w:rsidRPr="002218ED">
        <w:rPr>
          <w:rFonts w:eastAsia="Times New Roman"/>
        </w:rPr>
        <w:t xml:space="preserve">, </w:t>
      </w:r>
      <w:hyperlink r:id="rId32" w:tooltip="litigation and forensic accounting" w:history="1">
        <w:r w:rsidRPr="002218ED">
          <w:rPr>
            <w:rFonts w:eastAsia="Times New Roman"/>
          </w:rPr>
          <w:t>litigation support and forensic accounting</w:t>
        </w:r>
      </w:hyperlink>
      <w:r w:rsidRPr="002218ED">
        <w:rPr>
          <w:rFonts w:eastAsia="Times New Roman"/>
        </w:rPr>
        <w:t xml:space="preserve">, bankruptcy and insolvency and </w:t>
      </w:r>
      <w:hyperlink r:id="rId33" w:tooltip="royalty audit" w:history="1">
        <w:r w:rsidRPr="002218ED">
          <w:rPr>
            <w:rFonts w:eastAsia="Times New Roman"/>
          </w:rPr>
          <w:t>royalty audit</w:t>
        </w:r>
      </w:hyperlink>
      <w:r w:rsidRPr="002218ED">
        <w:rPr>
          <w:rFonts w:eastAsia="Times New Roman"/>
        </w:rPr>
        <w:t xml:space="preserve">. </w:t>
      </w:r>
    </w:p>
    <w:p w:rsidR="002218ED" w:rsidRDefault="002218ED" w:rsidP="002218ED">
      <w:pPr>
        <w:spacing w:before="100" w:beforeAutospacing="1" w:after="100" w:afterAutospacing="1"/>
        <w:rPr>
          <w:rFonts w:eastAsia="Times New Roman"/>
        </w:rPr>
      </w:pPr>
      <w:r w:rsidRPr="002218ED">
        <w:rPr>
          <w:rFonts w:eastAsia="Times New Roman"/>
        </w:rPr>
        <w:t xml:space="preserve">EisnerAmper has deep expertise providing audit, tax and advisory services to clients in major industry groups including </w:t>
      </w:r>
      <w:hyperlink r:id="rId34" w:tooltip="life sciences " w:history="1">
        <w:r w:rsidRPr="002218ED">
          <w:rPr>
            <w:rFonts w:eastAsia="Times New Roman"/>
          </w:rPr>
          <w:t>life sciences</w:t>
        </w:r>
      </w:hyperlink>
      <w:r w:rsidRPr="002218ED">
        <w:rPr>
          <w:rFonts w:eastAsia="Times New Roman"/>
        </w:rPr>
        <w:t xml:space="preserve"> and bio-tech, health care, </w:t>
      </w:r>
      <w:hyperlink r:id="rId35" w:tooltip="clean tech" w:history="1">
        <w:r w:rsidRPr="002218ED">
          <w:rPr>
            <w:rFonts w:eastAsia="Times New Roman"/>
          </w:rPr>
          <w:t>clean tech</w:t>
        </w:r>
      </w:hyperlink>
      <w:r w:rsidRPr="002218ED">
        <w:rPr>
          <w:rFonts w:eastAsia="Times New Roman"/>
        </w:rPr>
        <w:t xml:space="preserve">, technology, digital media, entertainment, sports, real estate, construction, </w:t>
      </w:r>
      <w:hyperlink r:id="rId36" w:tooltip="not-for-profit" w:history="1">
        <w:r w:rsidRPr="002218ED">
          <w:rPr>
            <w:rFonts w:eastAsia="Times New Roman"/>
          </w:rPr>
          <w:t>not-for-profit</w:t>
        </w:r>
      </w:hyperlink>
      <w:r w:rsidRPr="002218ED">
        <w:rPr>
          <w:rFonts w:eastAsia="Times New Roman"/>
        </w:rPr>
        <w:t xml:space="preserve">, manufacturing, automotive, distribution and retail. </w:t>
      </w:r>
    </w:p>
    <w:p w:rsidR="00E13BCB" w:rsidRPr="002218ED" w:rsidRDefault="00E13BCB" w:rsidP="002218ED">
      <w:pPr>
        <w:spacing w:before="100" w:beforeAutospacing="1" w:after="100" w:afterAutospacing="1"/>
        <w:rPr>
          <w:rFonts w:eastAsia="Times New Roman"/>
        </w:rPr>
      </w:pPr>
    </w:p>
    <w:p w:rsidR="002218ED" w:rsidRPr="002218ED" w:rsidRDefault="002218ED" w:rsidP="002218ED">
      <w:pPr>
        <w:spacing w:before="100" w:beforeAutospacing="1" w:after="100" w:afterAutospacing="1"/>
        <w:rPr>
          <w:rFonts w:eastAsia="Times New Roman"/>
        </w:rPr>
      </w:pPr>
      <w:r w:rsidRPr="002218ED">
        <w:rPr>
          <w:rFonts w:eastAsia="Times New Roman"/>
        </w:rPr>
        <w:lastRenderedPageBreak/>
        <w:t xml:space="preserve">EisnerAmper works with companies from their inception providing </w:t>
      </w:r>
      <w:hyperlink r:id="rId37" w:tooltip="accounting" w:history="1">
        <w:r w:rsidRPr="002218ED">
          <w:rPr>
            <w:rFonts w:eastAsia="Times New Roman"/>
          </w:rPr>
          <w:t>accounting</w:t>
        </w:r>
      </w:hyperlink>
      <w:r w:rsidRPr="002218ED">
        <w:rPr>
          <w:rFonts w:eastAsia="Times New Roman"/>
        </w:rPr>
        <w:t xml:space="preserve">, advisory and tax services. The firm serves incubators and start-ups with accounting services and advice. As companies grow, EisnerAmper assists them every step of the way with a full complement of services to help them reach their goals. </w:t>
      </w:r>
    </w:p>
    <w:p w:rsidR="002218ED" w:rsidRPr="002218ED" w:rsidRDefault="002218ED" w:rsidP="002218ED">
      <w:pPr>
        <w:spacing w:before="100" w:beforeAutospacing="1" w:after="100" w:afterAutospacing="1"/>
        <w:rPr>
          <w:rFonts w:eastAsia="Times New Roman"/>
        </w:rPr>
      </w:pPr>
      <w:r w:rsidRPr="002218ED">
        <w:rPr>
          <w:rFonts w:eastAsia="Times New Roman"/>
        </w:rPr>
        <w:t>EisnerAmper’s core values are to provide quality service, attract and develop a team of talented and highly trained professionals, stress innovation in all firm activities, act with integrity at all times, and be an effective and financially sound professional enterprise. The firm puts these values into practice at work as well as in the community. Through various avenues, such as EisnerAmper Cares, the Women of EisnerAmper and employee affinity groups, EisnerAmper employees are encouraged and supported to make a difference through volunteer projects and community service.</w:t>
      </w:r>
    </w:p>
    <w:p w:rsidR="002218ED" w:rsidRPr="002218ED" w:rsidRDefault="002218ED" w:rsidP="002218ED">
      <w:pPr>
        <w:spacing w:before="100" w:beforeAutospacing="1" w:after="100" w:afterAutospacing="1"/>
        <w:rPr>
          <w:rFonts w:eastAsia="Times New Roman"/>
        </w:rPr>
      </w:pPr>
      <w:r w:rsidRPr="002218ED">
        <w:rPr>
          <w:rFonts w:eastAsia="Times New Roman"/>
          <w:b/>
          <w:bCs/>
        </w:rPr>
        <w:t>EisnerAmper. Let’s get down to business.</w:t>
      </w:r>
      <w:r w:rsidRPr="002218ED">
        <w:rPr>
          <w:rFonts w:eastAsia="Times New Roman"/>
        </w:rPr>
        <w:t>™</w:t>
      </w:r>
    </w:p>
    <w:p w:rsidR="002218ED" w:rsidRPr="002218ED" w:rsidRDefault="002218ED" w:rsidP="002218ED">
      <w:pPr>
        <w:spacing w:before="100" w:beforeAutospacing="1" w:after="100" w:afterAutospacing="1"/>
        <w:rPr>
          <w:rFonts w:eastAsia="Times New Roman"/>
        </w:rPr>
      </w:pPr>
      <w:r w:rsidRPr="002218ED">
        <w:rPr>
          <w:rFonts w:eastAsia="Times New Roman"/>
          <w:i/>
          <w:iCs/>
        </w:rPr>
        <w:br/>
        <w:t xml:space="preserve">EisnerAmper LLP is an </w:t>
      </w:r>
      <w:r w:rsidR="004366CD" w:rsidRPr="002218ED">
        <w:rPr>
          <w:rFonts w:eastAsia="Times New Roman"/>
          <w:i/>
          <w:iCs/>
        </w:rPr>
        <w:t>independent</w:t>
      </w:r>
      <w:r w:rsidRPr="002218ED">
        <w:rPr>
          <w:rFonts w:eastAsia="Times New Roman"/>
          <w:i/>
          <w:iCs/>
        </w:rPr>
        <w:t> member firm of PKF North America.  PKF North America is an independent member of PKF International.  EisnerAmper does not accept any responsibility or liability for the actions or inactions on the part of any other individual member firm or firms of PKFNA or PKFI.</w:t>
      </w:r>
    </w:p>
    <w:p w:rsidR="006D4FA6" w:rsidRPr="002218ED" w:rsidRDefault="002218ED" w:rsidP="002218ED">
      <w:pPr>
        <w:shd w:val="clear" w:color="auto" w:fill="FFFFFF"/>
        <w:rPr>
          <w:b/>
        </w:rPr>
      </w:pPr>
      <w:r w:rsidRPr="002218ED">
        <w:rPr>
          <w:rFonts w:eastAsia="Times New Roman"/>
        </w:rPr>
        <w:t>- See more at: http://www.eisneramper.com/about-us/#sthash.XBOploFc.dpuf</w:t>
      </w:r>
    </w:p>
    <w:p w:rsidR="006D4FA6" w:rsidRPr="002218ED" w:rsidRDefault="006D4FA6" w:rsidP="00B90180">
      <w:pPr>
        <w:shd w:val="clear" w:color="auto" w:fill="FFFFFF"/>
        <w:rPr>
          <w:b/>
        </w:rPr>
      </w:pPr>
    </w:p>
    <w:p w:rsidR="006D4FA6" w:rsidRPr="002218ED" w:rsidRDefault="006D4FA6" w:rsidP="00B90180">
      <w:pPr>
        <w:shd w:val="clear" w:color="auto" w:fill="FFFFFF"/>
        <w:rPr>
          <w:b/>
        </w:rPr>
      </w:pPr>
    </w:p>
    <w:p w:rsidR="006D4FA6" w:rsidRPr="002218ED" w:rsidRDefault="006D4FA6" w:rsidP="00B90180">
      <w:pPr>
        <w:shd w:val="clear" w:color="auto" w:fill="FFFFFF"/>
        <w:rPr>
          <w:b/>
        </w:rPr>
      </w:pPr>
    </w:p>
    <w:p w:rsidR="006D4FA6" w:rsidRPr="002218ED" w:rsidRDefault="006D4FA6" w:rsidP="00B90180">
      <w:pPr>
        <w:shd w:val="clear" w:color="auto" w:fill="FFFFFF"/>
        <w:rPr>
          <w:b/>
        </w:rPr>
      </w:pPr>
    </w:p>
    <w:p w:rsidR="006D4FA6" w:rsidRDefault="006D4FA6" w:rsidP="00B90180">
      <w:pPr>
        <w:shd w:val="clear" w:color="auto" w:fill="FFFFFF"/>
        <w:rPr>
          <w:b/>
          <w:color w:val="000000"/>
        </w:rPr>
      </w:pPr>
    </w:p>
    <w:p w:rsidR="006D4FA6" w:rsidRDefault="006D4FA6" w:rsidP="00B90180">
      <w:pPr>
        <w:shd w:val="clear" w:color="auto" w:fill="FFFFFF"/>
        <w:rPr>
          <w:b/>
          <w:color w:val="000000"/>
        </w:rPr>
      </w:pPr>
    </w:p>
    <w:p w:rsidR="006D4FA6" w:rsidRDefault="006D4FA6" w:rsidP="00B90180">
      <w:pPr>
        <w:shd w:val="clear" w:color="auto" w:fill="FFFFFF"/>
        <w:rPr>
          <w:b/>
          <w:color w:val="000000"/>
        </w:rPr>
      </w:pPr>
    </w:p>
    <w:p w:rsidR="006D4FA6" w:rsidRDefault="006D4FA6" w:rsidP="00B90180">
      <w:pPr>
        <w:shd w:val="clear" w:color="auto" w:fill="FFFFFF"/>
        <w:rPr>
          <w:b/>
          <w:color w:val="000000"/>
        </w:rPr>
      </w:pPr>
    </w:p>
    <w:p w:rsidR="006D4FA6" w:rsidRDefault="006D4FA6" w:rsidP="00B90180">
      <w:pPr>
        <w:shd w:val="clear" w:color="auto" w:fill="FFFFFF"/>
        <w:rPr>
          <w:b/>
          <w:color w:val="000000"/>
        </w:rPr>
      </w:pPr>
    </w:p>
    <w:p w:rsidR="006D4FA6" w:rsidRDefault="006D4FA6" w:rsidP="00B90180">
      <w:pPr>
        <w:shd w:val="clear" w:color="auto" w:fill="FFFFFF"/>
        <w:rPr>
          <w:b/>
          <w:color w:val="000000"/>
        </w:rPr>
      </w:pPr>
    </w:p>
    <w:p w:rsidR="006D4FA6" w:rsidRDefault="006D4FA6"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4366CD" w:rsidRDefault="004366CD" w:rsidP="00B90180">
      <w:pPr>
        <w:shd w:val="clear" w:color="auto" w:fill="FFFFFF"/>
        <w:rPr>
          <w:b/>
          <w:color w:val="000000"/>
        </w:rPr>
      </w:pPr>
    </w:p>
    <w:p w:rsidR="007D5DA3" w:rsidRPr="00B90180" w:rsidRDefault="00BA4353" w:rsidP="00293B8B">
      <w:pPr>
        <w:shd w:val="clear" w:color="auto" w:fill="FFFFFF"/>
        <w:ind w:left="360" w:hanging="360"/>
        <w:jc w:val="center"/>
        <w:rPr>
          <w:b/>
          <w:color w:val="000000"/>
          <w:sz w:val="28"/>
          <w:szCs w:val="28"/>
        </w:rPr>
      </w:pPr>
      <w:r w:rsidRPr="00B90180">
        <w:rPr>
          <w:b/>
          <w:color w:val="000000"/>
          <w:sz w:val="28"/>
          <w:szCs w:val="28"/>
        </w:rPr>
        <w:lastRenderedPageBreak/>
        <w:t xml:space="preserve">The Use of Annuities in </w:t>
      </w:r>
      <w:r w:rsidR="00293B8B" w:rsidRPr="00B90180">
        <w:rPr>
          <w:b/>
          <w:color w:val="000000"/>
          <w:sz w:val="28"/>
          <w:szCs w:val="28"/>
        </w:rPr>
        <w:t xml:space="preserve">Trust and </w:t>
      </w:r>
      <w:r w:rsidRPr="00B90180">
        <w:rPr>
          <w:b/>
          <w:color w:val="000000"/>
          <w:sz w:val="28"/>
          <w:szCs w:val="28"/>
        </w:rPr>
        <w:t>Estate Planning</w:t>
      </w:r>
    </w:p>
    <w:p w:rsidR="00DC0F96" w:rsidRPr="00B90180" w:rsidRDefault="00DC0F96" w:rsidP="00DC0F96">
      <w:pPr>
        <w:shd w:val="clear" w:color="auto" w:fill="FFFFFF"/>
        <w:rPr>
          <w:color w:val="000000"/>
          <w:sz w:val="28"/>
          <w:szCs w:val="28"/>
        </w:rPr>
      </w:pPr>
    </w:p>
    <w:p w:rsidR="00DC0F96" w:rsidRPr="00AE7EF7" w:rsidRDefault="0019306A" w:rsidP="00AE7EF7">
      <w:pPr>
        <w:shd w:val="clear" w:color="auto" w:fill="FFFFFF"/>
        <w:rPr>
          <w:b/>
          <w:color w:val="000000"/>
        </w:rPr>
      </w:pPr>
      <w:r w:rsidRPr="00AE7EF7">
        <w:rPr>
          <w:b/>
          <w:color w:val="000000"/>
        </w:rPr>
        <w:t>Income Tax Considerations</w:t>
      </w:r>
    </w:p>
    <w:p w:rsidR="00314D57" w:rsidRPr="00314D57" w:rsidRDefault="00314D57" w:rsidP="00314D57">
      <w:pPr>
        <w:shd w:val="clear" w:color="auto" w:fill="FFFFFF"/>
        <w:rPr>
          <w:b/>
          <w:color w:val="000000"/>
        </w:rPr>
      </w:pPr>
    </w:p>
    <w:p w:rsidR="00A331AA" w:rsidRPr="006D4FA6" w:rsidRDefault="00044002" w:rsidP="006D4FA6">
      <w:pPr>
        <w:shd w:val="clear" w:color="auto" w:fill="FFFFFF"/>
        <w:rPr>
          <w:b/>
          <w:color w:val="000000"/>
        </w:rPr>
      </w:pPr>
      <w:r>
        <w:rPr>
          <w:b/>
          <w:color w:val="000000"/>
        </w:rPr>
        <w:t xml:space="preserve">A Client’s </w:t>
      </w:r>
      <w:r w:rsidR="00A331AA" w:rsidRPr="006D4FA6">
        <w:rPr>
          <w:b/>
          <w:color w:val="000000"/>
        </w:rPr>
        <w:t>Potential Principal Goals</w:t>
      </w:r>
    </w:p>
    <w:p w:rsidR="006D4FA6" w:rsidRPr="006D4FA6" w:rsidRDefault="006D4FA6" w:rsidP="006D4FA6">
      <w:pPr>
        <w:shd w:val="clear" w:color="auto" w:fill="FFFFFF"/>
        <w:rPr>
          <w:b/>
          <w:color w:val="000000"/>
        </w:rPr>
      </w:pPr>
    </w:p>
    <w:p w:rsidR="00F34FBC" w:rsidRPr="00044002" w:rsidRDefault="00F34FBC" w:rsidP="00980275">
      <w:pPr>
        <w:pStyle w:val="ListParagraph"/>
        <w:numPr>
          <w:ilvl w:val="1"/>
          <w:numId w:val="14"/>
        </w:numPr>
        <w:shd w:val="clear" w:color="auto" w:fill="FFFFFF"/>
        <w:rPr>
          <w:b/>
          <w:color w:val="000000"/>
        </w:rPr>
      </w:pPr>
      <w:r w:rsidRPr="00044002">
        <w:rPr>
          <w:b/>
          <w:color w:val="000000"/>
        </w:rPr>
        <w:t>D</w:t>
      </w:r>
      <w:r w:rsidR="005F6D7F" w:rsidRPr="00044002">
        <w:rPr>
          <w:b/>
          <w:color w:val="000000"/>
        </w:rPr>
        <w:t>efinition of an annuity under IRC</w:t>
      </w:r>
      <w:r w:rsidRPr="00044002">
        <w:rPr>
          <w:b/>
          <w:color w:val="000000"/>
        </w:rPr>
        <w:t xml:space="preserve"> Sec. 72</w:t>
      </w:r>
    </w:p>
    <w:p w:rsidR="00277E2F" w:rsidRDefault="006E4D9A" w:rsidP="00F34FBC">
      <w:pPr>
        <w:pStyle w:val="ListParagraph"/>
        <w:numPr>
          <w:ilvl w:val="2"/>
          <w:numId w:val="14"/>
        </w:numPr>
        <w:shd w:val="clear" w:color="auto" w:fill="FFFFFF"/>
        <w:rPr>
          <w:color w:val="000000"/>
        </w:rPr>
      </w:pPr>
      <w:r>
        <w:rPr>
          <w:color w:val="000000"/>
        </w:rPr>
        <w:t>Private annuities ((1969-1, C.B. 43; GCM 39503 (5/7/86)</w:t>
      </w:r>
    </w:p>
    <w:p w:rsidR="002E7C2D" w:rsidRDefault="002E7C2D" w:rsidP="006E4D9A">
      <w:pPr>
        <w:pStyle w:val="ListParagraph"/>
        <w:numPr>
          <w:ilvl w:val="3"/>
          <w:numId w:val="14"/>
        </w:numPr>
        <w:shd w:val="clear" w:color="auto" w:fill="FFFFFF"/>
        <w:rPr>
          <w:color w:val="000000"/>
        </w:rPr>
      </w:pPr>
      <w:r>
        <w:rPr>
          <w:color w:val="000000"/>
        </w:rPr>
        <w:t>Useful for lifetime transfers of property among family members, generations</w:t>
      </w:r>
    </w:p>
    <w:p w:rsidR="006E4D9A" w:rsidRDefault="006E4D9A" w:rsidP="006E4D9A">
      <w:pPr>
        <w:pStyle w:val="ListParagraph"/>
        <w:numPr>
          <w:ilvl w:val="3"/>
          <w:numId w:val="14"/>
        </w:numPr>
        <w:shd w:val="clear" w:color="auto" w:fill="FFFFFF"/>
        <w:rPr>
          <w:color w:val="000000"/>
        </w:rPr>
      </w:pPr>
      <w:r>
        <w:rPr>
          <w:color w:val="000000"/>
        </w:rPr>
        <w:t>Transfer of property from the transferor, in exchange for a transferee’s unsecured promise to pay a stream of fixed payments</w:t>
      </w:r>
    </w:p>
    <w:p w:rsidR="002E7C2D" w:rsidRDefault="002E7C2D" w:rsidP="006E4D9A">
      <w:pPr>
        <w:pStyle w:val="ListParagraph"/>
        <w:numPr>
          <w:ilvl w:val="3"/>
          <w:numId w:val="14"/>
        </w:numPr>
        <w:shd w:val="clear" w:color="auto" w:fill="FFFFFF"/>
        <w:rPr>
          <w:color w:val="000000"/>
        </w:rPr>
      </w:pPr>
      <w:r>
        <w:rPr>
          <w:color w:val="000000"/>
        </w:rPr>
        <w:t>Fixed period or lifetime</w:t>
      </w:r>
    </w:p>
    <w:p w:rsidR="006E4D9A" w:rsidRDefault="006E4D9A" w:rsidP="006E4D9A">
      <w:pPr>
        <w:pStyle w:val="ListParagraph"/>
        <w:numPr>
          <w:ilvl w:val="3"/>
          <w:numId w:val="14"/>
        </w:numPr>
        <w:shd w:val="clear" w:color="auto" w:fill="FFFFFF"/>
        <w:rPr>
          <w:color w:val="000000"/>
        </w:rPr>
      </w:pPr>
      <w:r>
        <w:rPr>
          <w:color w:val="000000"/>
        </w:rPr>
        <w:t>Life expectancy tables prescribed by the IRS (see also Rev. Rul. 69-74)</w:t>
      </w:r>
    </w:p>
    <w:p w:rsidR="002E7C2D" w:rsidRDefault="002E7C2D" w:rsidP="006E4D9A">
      <w:pPr>
        <w:pStyle w:val="ListParagraph"/>
        <w:numPr>
          <w:ilvl w:val="3"/>
          <w:numId w:val="14"/>
        </w:numPr>
        <w:shd w:val="clear" w:color="auto" w:fill="FFFFFF"/>
        <w:rPr>
          <w:color w:val="000000"/>
        </w:rPr>
      </w:pPr>
      <w:r>
        <w:rPr>
          <w:color w:val="000000"/>
        </w:rPr>
        <w:t>Where a transferor’s death occurs prior to all payments (life term)  being received, unpaid annuity payments not included in the estate</w:t>
      </w:r>
    </w:p>
    <w:p w:rsidR="002E7C2D" w:rsidRDefault="002E7C2D" w:rsidP="006E4D9A">
      <w:pPr>
        <w:pStyle w:val="ListParagraph"/>
        <w:numPr>
          <w:ilvl w:val="3"/>
          <w:numId w:val="14"/>
        </w:numPr>
        <w:shd w:val="clear" w:color="auto" w:fill="FFFFFF"/>
        <w:rPr>
          <w:color w:val="000000"/>
        </w:rPr>
      </w:pPr>
      <w:r>
        <w:rPr>
          <w:color w:val="000000"/>
        </w:rPr>
        <w:t>Transferees basis on property acquired</w:t>
      </w:r>
    </w:p>
    <w:p w:rsidR="002E7C2D" w:rsidRDefault="002E7C2D" w:rsidP="006E4D9A">
      <w:pPr>
        <w:pStyle w:val="ListParagraph"/>
        <w:numPr>
          <w:ilvl w:val="3"/>
          <w:numId w:val="14"/>
        </w:numPr>
        <w:shd w:val="clear" w:color="auto" w:fill="FFFFFF"/>
        <w:rPr>
          <w:color w:val="000000"/>
        </w:rPr>
      </w:pPr>
      <w:r>
        <w:rPr>
          <w:color w:val="000000"/>
        </w:rPr>
        <w:t>How does transferee fund annuity payments ?</w:t>
      </w:r>
    </w:p>
    <w:p w:rsidR="006E4D9A" w:rsidRDefault="002E7C2D" w:rsidP="006E4D9A">
      <w:pPr>
        <w:pStyle w:val="ListParagraph"/>
        <w:numPr>
          <w:ilvl w:val="3"/>
          <w:numId w:val="14"/>
        </w:numPr>
        <w:shd w:val="clear" w:color="auto" w:fill="FFFFFF"/>
        <w:rPr>
          <w:color w:val="000000"/>
        </w:rPr>
      </w:pPr>
      <w:r>
        <w:rPr>
          <w:color w:val="000000"/>
        </w:rPr>
        <w:t>Over t</w:t>
      </w:r>
      <w:r w:rsidR="006E4D9A">
        <w:rPr>
          <w:color w:val="000000"/>
        </w:rPr>
        <w:t>en</w:t>
      </w:r>
      <w:r>
        <w:rPr>
          <w:color w:val="000000"/>
        </w:rPr>
        <w:t xml:space="preserve"> factors distinguish</w:t>
      </w:r>
      <w:r w:rsidR="006E4D9A">
        <w:rPr>
          <w:color w:val="000000"/>
        </w:rPr>
        <w:t xml:space="preserve"> a private annui</w:t>
      </w:r>
      <w:r>
        <w:rPr>
          <w:color w:val="000000"/>
        </w:rPr>
        <w:t>ty from a commercial annuity (see also Reg. Sec. 141901-05, 71 Fed. Reg.  61441 (10/18/06; other)</w:t>
      </w:r>
    </w:p>
    <w:p w:rsidR="00044002" w:rsidRPr="00044002" w:rsidRDefault="00044002" w:rsidP="00044002">
      <w:pPr>
        <w:shd w:val="clear" w:color="auto" w:fill="FFFFFF"/>
        <w:ind w:left="2160"/>
        <w:rPr>
          <w:color w:val="000000"/>
        </w:rPr>
      </w:pPr>
    </w:p>
    <w:p w:rsidR="00F5728C" w:rsidRPr="00044002" w:rsidRDefault="00F5728C" w:rsidP="00044002">
      <w:pPr>
        <w:pStyle w:val="ListParagraph"/>
        <w:numPr>
          <w:ilvl w:val="1"/>
          <w:numId w:val="14"/>
        </w:numPr>
        <w:shd w:val="clear" w:color="auto" w:fill="FFFFFF"/>
        <w:rPr>
          <w:b/>
          <w:color w:val="000000"/>
        </w:rPr>
      </w:pPr>
      <w:r w:rsidRPr="00044002">
        <w:rPr>
          <w:b/>
          <w:color w:val="000000"/>
        </w:rPr>
        <w:t>Commercial annuities</w:t>
      </w:r>
    </w:p>
    <w:p w:rsidR="00F34FBC" w:rsidRDefault="00F34FBC" w:rsidP="00E13BCB">
      <w:pPr>
        <w:pStyle w:val="ListParagraph"/>
        <w:numPr>
          <w:ilvl w:val="3"/>
          <w:numId w:val="14"/>
        </w:numPr>
        <w:shd w:val="clear" w:color="auto" w:fill="FFFFFF"/>
        <w:rPr>
          <w:color w:val="000000"/>
        </w:rPr>
      </w:pPr>
      <w:r>
        <w:rPr>
          <w:color w:val="000000"/>
        </w:rPr>
        <w:t xml:space="preserve">All gain (or excess contract value over adjusted basis) is taxed as ordinary income, either to </w:t>
      </w:r>
      <w:r w:rsidR="002C4F76">
        <w:rPr>
          <w:color w:val="000000"/>
        </w:rPr>
        <w:t>the living contract holder or beneficiary</w:t>
      </w:r>
    </w:p>
    <w:p w:rsidR="002C4F76" w:rsidRDefault="002C4F76" w:rsidP="00E13BCB">
      <w:pPr>
        <w:pStyle w:val="ListParagraph"/>
        <w:numPr>
          <w:ilvl w:val="4"/>
          <w:numId w:val="14"/>
        </w:numPr>
        <w:shd w:val="clear" w:color="auto" w:fill="FFFFFF"/>
        <w:rPr>
          <w:color w:val="000000"/>
        </w:rPr>
      </w:pPr>
      <w:r>
        <w:rPr>
          <w:color w:val="000000"/>
        </w:rPr>
        <w:t>In contrast, the death benefit of a life insurance policy is generally received income tax free by a beneficiary</w:t>
      </w:r>
    </w:p>
    <w:p w:rsidR="002C4F76" w:rsidRDefault="002C4F76" w:rsidP="00E13BCB">
      <w:pPr>
        <w:pStyle w:val="ListParagraph"/>
        <w:numPr>
          <w:ilvl w:val="3"/>
          <w:numId w:val="14"/>
        </w:numPr>
        <w:shd w:val="clear" w:color="auto" w:fill="FFFFFF"/>
        <w:rPr>
          <w:color w:val="000000"/>
        </w:rPr>
      </w:pPr>
      <w:r>
        <w:rPr>
          <w:color w:val="000000"/>
        </w:rPr>
        <w:t>Distributions from an annuity (issued post August 13, 1982) are taxed on a “last in, first out” basis (or as gain) until all gain has been distributed. This treatment also applies to life insurance policies that are modified endowment contracts (MECs)</w:t>
      </w:r>
    </w:p>
    <w:p w:rsidR="002C4F76" w:rsidRDefault="002C4F76" w:rsidP="00E13BCB">
      <w:pPr>
        <w:pStyle w:val="ListParagraph"/>
        <w:numPr>
          <w:ilvl w:val="4"/>
          <w:numId w:val="14"/>
        </w:numPr>
        <w:shd w:val="clear" w:color="auto" w:fill="FFFFFF"/>
        <w:rPr>
          <w:color w:val="000000"/>
        </w:rPr>
      </w:pPr>
      <w:r>
        <w:rPr>
          <w:color w:val="000000"/>
        </w:rPr>
        <w:t>Distributions to the living owner of a life insurance policy (not a MEC) are taxed on a “first in, first out basis” All distributions are considered as a return of principal until all contract basis has been distributed</w:t>
      </w:r>
    </w:p>
    <w:p w:rsidR="0019306A" w:rsidRPr="0019306A" w:rsidRDefault="0019306A" w:rsidP="0019306A">
      <w:pPr>
        <w:shd w:val="clear" w:color="auto" w:fill="FFFFFF"/>
        <w:ind w:left="2160"/>
        <w:rPr>
          <w:color w:val="000000"/>
        </w:rPr>
      </w:pPr>
    </w:p>
    <w:p w:rsidR="00A331AA" w:rsidRPr="00F45816" w:rsidRDefault="00A331AA" w:rsidP="00980275">
      <w:pPr>
        <w:pStyle w:val="ListParagraph"/>
        <w:numPr>
          <w:ilvl w:val="1"/>
          <w:numId w:val="14"/>
        </w:numPr>
        <w:shd w:val="clear" w:color="auto" w:fill="FFFFFF"/>
        <w:rPr>
          <w:b/>
          <w:color w:val="000000"/>
        </w:rPr>
      </w:pPr>
      <w:r w:rsidRPr="00F45816">
        <w:rPr>
          <w:b/>
          <w:color w:val="000000"/>
        </w:rPr>
        <w:t>Income to estate owner’s heirs</w:t>
      </w:r>
      <w:r w:rsidR="00980275" w:rsidRPr="00F45816">
        <w:rPr>
          <w:b/>
          <w:color w:val="000000"/>
        </w:rPr>
        <w:t xml:space="preserve">: </w:t>
      </w:r>
      <w:r w:rsidR="00E13BCB" w:rsidRPr="00F45816">
        <w:rPr>
          <w:b/>
          <w:color w:val="000000"/>
        </w:rPr>
        <w:t>a</w:t>
      </w:r>
      <w:r w:rsidR="00BF5E14" w:rsidRPr="00F45816">
        <w:rPr>
          <w:b/>
          <w:color w:val="000000"/>
        </w:rPr>
        <w:t>nnuity p</w:t>
      </w:r>
      <w:r w:rsidR="00980275" w:rsidRPr="00F45816">
        <w:rPr>
          <w:b/>
          <w:color w:val="000000"/>
        </w:rPr>
        <w:t>ayments</w:t>
      </w:r>
      <w:r w:rsidR="00E13BCB" w:rsidRPr="00F45816">
        <w:rPr>
          <w:b/>
          <w:color w:val="000000"/>
        </w:rPr>
        <w:t>, and income and estate tax rates</w:t>
      </w:r>
    </w:p>
    <w:p w:rsidR="00980275" w:rsidRDefault="00980275" w:rsidP="00980275">
      <w:pPr>
        <w:pStyle w:val="ListParagraph"/>
        <w:numPr>
          <w:ilvl w:val="2"/>
          <w:numId w:val="14"/>
        </w:numPr>
        <w:shd w:val="clear" w:color="auto" w:fill="FFFFFF"/>
        <w:rPr>
          <w:color w:val="000000"/>
        </w:rPr>
      </w:pPr>
      <w:r>
        <w:rPr>
          <w:color w:val="000000"/>
        </w:rPr>
        <w:t xml:space="preserve">Return of basis (payments as a return of purchase price; </w:t>
      </w:r>
      <w:r w:rsidR="006E5FC0">
        <w:rPr>
          <w:color w:val="000000"/>
        </w:rPr>
        <w:t>nontaxable</w:t>
      </w:r>
      <w:r>
        <w:rPr>
          <w:color w:val="000000"/>
        </w:rPr>
        <w:t>)</w:t>
      </w:r>
    </w:p>
    <w:p w:rsidR="00980275" w:rsidRDefault="00980275" w:rsidP="00980275">
      <w:pPr>
        <w:pStyle w:val="ListParagraph"/>
        <w:numPr>
          <w:ilvl w:val="3"/>
          <w:numId w:val="14"/>
        </w:numPr>
        <w:shd w:val="clear" w:color="auto" w:fill="FFFFFF"/>
        <w:rPr>
          <w:color w:val="000000"/>
        </w:rPr>
      </w:pPr>
      <w:r>
        <w:rPr>
          <w:color w:val="000000"/>
        </w:rPr>
        <w:t>Basis step up to fair value at date of death</w:t>
      </w:r>
      <w:r w:rsidR="007576CF">
        <w:rPr>
          <w:color w:val="000000"/>
        </w:rPr>
        <w:t xml:space="preserve"> – Note: unavailable step up in basis when annuity is acquired by a decedent</w:t>
      </w:r>
    </w:p>
    <w:p w:rsidR="00980275" w:rsidRDefault="00980275" w:rsidP="00980275">
      <w:pPr>
        <w:pStyle w:val="ListParagraph"/>
        <w:numPr>
          <w:ilvl w:val="2"/>
          <w:numId w:val="14"/>
        </w:numPr>
        <w:shd w:val="clear" w:color="auto" w:fill="FFFFFF"/>
        <w:rPr>
          <w:color w:val="000000"/>
        </w:rPr>
      </w:pPr>
      <w:r>
        <w:rPr>
          <w:color w:val="000000"/>
        </w:rPr>
        <w:t>Return (payment) in excess of basis – capital gain</w:t>
      </w:r>
      <w:r w:rsidR="00E13BCB">
        <w:rPr>
          <w:color w:val="000000"/>
        </w:rPr>
        <w:t>/qualified dividends</w:t>
      </w:r>
      <w:r w:rsidR="00314D57">
        <w:rPr>
          <w:color w:val="000000"/>
        </w:rPr>
        <w:t xml:space="preserve"> (20% plus 3.8% (federal))</w:t>
      </w:r>
    </w:p>
    <w:p w:rsidR="00980275" w:rsidRDefault="00980275" w:rsidP="00980275">
      <w:pPr>
        <w:pStyle w:val="ListParagraph"/>
        <w:numPr>
          <w:ilvl w:val="2"/>
          <w:numId w:val="14"/>
        </w:numPr>
        <w:shd w:val="clear" w:color="auto" w:fill="FFFFFF"/>
        <w:rPr>
          <w:color w:val="000000"/>
        </w:rPr>
      </w:pPr>
      <w:r>
        <w:rPr>
          <w:color w:val="000000"/>
        </w:rPr>
        <w:t>Interest income payment – ordinary income</w:t>
      </w:r>
      <w:r w:rsidR="00314D57">
        <w:rPr>
          <w:color w:val="000000"/>
        </w:rPr>
        <w:t xml:space="preserve"> (up to 39,6% (federal))</w:t>
      </w:r>
    </w:p>
    <w:p w:rsidR="00044002" w:rsidRPr="00044002" w:rsidRDefault="00044002" w:rsidP="00044002">
      <w:pPr>
        <w:shd w:val="clear" w:color="auto" w:fill="FFFFFF"/>
        <w:ind w:left="1440"/>
        <w:rPr>
          <w:color w:val="000000"/>
        </w:rPr>
      </w:pPr>
    </w:p>
    <w:p w:rsidR="00044002" w:rsidRDefault="00044002" w:rsidP="00980275">
      <w:pPr>
        <w:pStyle w:val="ListParagraph"/>
        <w:numPr>
          <w:ilvl w:val="2"/>
          <w:numId w:val="14"/>
        </w:numPr>
        <w:shd w:val="clear" w:color="auto" w:fill="FFFFFF"/>
        <w:rPr>
          <w:color w:val="000000"/>
        </w:rPr>
      </w:pPr>
      <w:r>
        <w:rPr>
          <w:color w:val="000000"/>
        </w:rPr>
        <w:t xml:space="preserve">Federal estate tax exemption $5.43 million ($10.86 million joint), top tax rate of 40%. </w:t>
      </w:r>
    </w:p>
    <w:p w:rsidR="00E13BCB" w:rsidRDefault="00E13BCB" w:rsidP="00980275">
      <w:pPr>
        <w:pStyle w:val="ListParagraph"/>
        <w:numPr>
          <w:ilvl w:val="2"/>
          <w:numId w:val="14"/>
        </w:numPr>
        <w:shd w:val="clear" w:color="auto" w:fill="FFFFFF"/>
        <w:rPr>
          <w:color w:val="000000"/>
        </w:rPr>
      </w:pPr>
      <w:r>
        <w:rPr>
          <w:color w:val="000000"/>
        </w:rPr>
        <w:t>New York income tax rate – 8.82% (top rate)</w:t>
      </w:r>
    </w:p>
    <w:p w:rsidR="00E13BCB" w:rsidRPr="00980275" w:rsidRDefault="00E13BCB" w:rsidP="00980275">
      <w:pPr>
        <w:pStyle w:val="ListParagraph"/>
        <w:numPr>
          <w:ilvl w:val="2"/>
          <w:numId w:val="14"/>
        </w:numPr>
        <w:shd w:val="clear" w:color="auto" w:fill="FFFFFF"/>
        <w:rPr>
          <w:color w:val="000000"/>
        </w:rPr>
      </w:pPr>
      <w:r>
        <w:rPr>
          <w:color w:val="000000"/>
        </w:rPr>
        <w:t>New York estate BEA and tax rate - $3.125 million (to 3/31/16)</w:t>
      </w:r>
      <w:r w:rsidR="00044002">
        <w:rPr>
          <w:color w:val="000000"/>
        </w:rPr>
        <w:t>; 16% top rate</w:t>
      </w:r>
      <w:r>
        <w:rPr>
          <w:color w:val="000000"/>
        </w:rPr>
        <w:t xml:space="preserve"> </w:t>
      </w:r>
    </w:p>
    <w:p w:rsidR="00980275" w:rsidRDefault="00980275" w:rsidP="00980275">
      <w:pPr>
        <w:pStyle w:val="ListParagraph"/>
        <w:shd w:val="clear" w:color="auto" w:fill="FFFFFF"/>
        <w:ind w:left="1080"/>
        <w:rPr>
          <w:color w:val="000000"/>
        </w:rPr>
      </w:pPr>
    </w:p>
    <w:p w:rsidR="00A331AA" w:rsidRPr="00F45816" w:rsidRDefault="00314D57" w:rsidP="00A331AA">
      <w:pPr>
        <w:pStyle w:val="ListParagraph"/>
        <w:numPr>
          <w:ilvl w:val="1"/>
          <w:numId w:val="14"/>
        </w:numPr>
        <w:shd w:val="clear" w:color="auto" w:fill="FFFFFF"/>
        <w:rPr>
          <w:b/>
          <w:color w:val="000000"/>
        </w:rPr>
      </w:pPr>
      <w:r w:rsidRPr="00F45816">
        <w:rPr>
          <w:b/>
          <w:color w:val="000000"/>
        </w:rPr>
        <w:t xml:space="preserve">Tools to attain goals: </w:t>
      </w:r>
      <w:r w:rsidR="00A331AA" w:rsidRPr="00F45816">
        <w:rPr>
          <w:b/>
          <w:color w:val="000000"/>
        </w:rPr>
        <w:t>Immediate and deferred annuities</w:t>
      </w:r>
    </w:p>
    <w:p w:rsidR="00A331AA" w:rsidRDefault="00A331AA" w:rsidP="009D7284">
      <w:pPr>
        <w:pStyle w:val="ListParagraph"/>
        <w:numPr>
          <w:ilvl w:val="2"/>
          <w:numId w:val="14"/>
        </w:numPr>
        <w:shd w:val="clear" w:color="auto" w:fill="FFFFFF"/>
        <w:rPr>
          <w:color w:val="000000"/>
        </w:rPr>
      </w:pPr>
      <w:r>
        <w:rPr>
          <w:color w:val="000000"/>
        </w:rPr>
        <w:t>Immediate annuities</w:t>
      </w:r>
      <w:r w:rsidR="00BF5E14">
        <w:rPr>
          <w:color w:val="000000"/>
        </w:rPr>
        <w:t xml:space="preserve"> (SPIAs)</w:t>
      </w:r>
      <w:r>
        <w:rPr>
          <w:color w:val="000000"/>
        </w:rPr>
        <w:t xml:space="preserve"> can provide for annual increases</w:t>
      </w:r>
      <w:r w:rsidR="004936FA">
        <w:rPr>
          <w:color w:val="000000"/>
        </w:rPr>
        <w:t>. Purchased with a single premium, where payments begin not later than one year from the date of purchase (Sec 72(u)(4); PLR 9237030)</w:t>
      </w:r>
      <w:r w:rsidR="00E32863">
        <w:rPr>
          <w:color w:val="000000"/>
        </w:rPr>
        <w:t xml:space="preserve">. </w:t>
      </w:r>
      <w:r w:rsidR="004936FA">
        <w:rPr>
          <w:color w:val="000000"/>
        </w:rPr>
        <w:t xml:space="preserve">Annuity contract return can create deferred income where investment returns exceed contract rate, with tax deferral opportunities - </w:t>
      </w:r>
      <w:r w:rsidR="009D7284">
        <w:rPr>
          <w:color w:val="000000"/>
        </w:rPr>
        <w:t>Advantage</w:t>
      </w:r>
    </w:p>
    <w:p w:rsidR="009D7284" w:rsidRDefault="00980275" w:rsidP="009D7284">
      <w:pPr>
        <w:pStyle w:val="ListParagraph"/>
        <w:numPr>
          <w:ilvl w:val="2"/>
          <w:numId w:val="14"/>
        </w:numPr>
        <w:shd w:val="clear" w:color="auto" w:fill="FFFFFF"/>
        <w:rPr>
          <w:color w:val="000000"/>
        </w:rPr>
      </w:pPr>
      <w:r>
        <w:rPr>
          <w:color w:val="000000"/>
        </w:rPr>
        <w:t>Most i</w:t>
      </w:r>
      <w:r w:rsidR="009D7284">
        <w:rPr>
          <w:color w:val="000000"/>
        </w:rPr>
        <w:t>mmediate annuities</w:t>
      </w:r>
      <w:r>
        <w:rPr>
          <w:color w:val="000000"/>
        </w:rPr>
        <w:t>, once begun, do not permit modification of the payment amount or commutation</w:t>
      </w:r>
      <w:r w:rsidR="00314D57">
        <w:rPr>
          <w:color w:val="000000"/>
        </w:rPr>
        <w:t xml:space="preserve"> </w:t>
      </w:r>
      <w:r w:rsidR="004936FA">
        <w:rPr>
          <w:color w:val="000000"/>
        </w:rPr>
        <w:t>–</w:t>
      </w:r>
      <w:r w:rsidR="00314D57">
        <w:rPr>
          <w:color w:val="000000"/>
        </w:rPr>
        <w:t xml:space="preserve"> Disadvantage</w:t>
      </w:r>
    </w:p>
    <w:p w:rsidR="004936FA" w:rsidRDefault="004936FA" w:rsidP="009D7284">
      <w:pPr>
        <w:pStyle w:val="ListParagraph"/>
        <w:numPr>
          <w:ilvl w:val="2"/>
          <w:numId w:val="14"/>
        </w:numPr>
        <w:shd w:val="clear" w:color="auto" w:fill="FFFFFF"/>
        <w:rPr>
          <w:color w:val="000000"/>
        </w:rPr>
      </w:pPr>
      <w:r>
        <w:rPr>
          <w:color w:val="000000"/>
        </w:rPr>
        <w:t>Deferred annuities can also be acquired via a lump sum payment, or via periodic payments; payments (to annuitant) grow on a tax-deferred basis until the distribution process begins</w:t>
      </w:r>
    </w:p>
    <w:p w:rsidR="004936FA" w:rsidRPr="00F45816" w:rsidRDefault="004936FA" w:rsidP="009D7284">
      <w:pPr>
        <w:pStyle w:val="ListParagraph"/>
        <w:numPr>
          <w:ilvl w:val="2"/>
          <w:numId w:val="14"/>
        </w:numPr>
        <w:shd w:val="clear" w:color="auto" w:fill="FFFFFF"/>
        <w:rPr>
          <w:i/>
          <w:color w:val="000000"/>
        </w:rPr>
      </w:pPr>
      <w:r w:rsidRPr="00F45816">
        <w:rPr>
          <w:i/>
          <w:color w:val="000000"/>
        </w:rPr>
        <w:t>Types of annuities include</w:t>
      </w:r>
    </w:p>
    <w:p w:rsidR="00E93DC8" w:rsidRDefault="004936FA" w:rsidP="004936FA">
      <w:pPr>
        <w:pStyle w:val="ListParagraph"/>
        <w:numPr>
          <w:ilvl w:val="3"/>
          <w:numId w:val="14"/>
        </w:numPr>
        <w:shd w:val="clear" w:color="auto" w:fill="FFFFFF"/>
        <w:rPr>
          <w:color w:val="000000"/>
        </w:rPr>
      </w:pPr>
      <w:r>
        <w:rPr>
          <w:color w:val="000000"/>
        </w:rPr>
        <w:t>Single lifetime</w:t>
      </w:r>
      <w:r w:rsidR="00E93DC8">
        <w:rPr>
          <w:color w:val="000000"/>
        </w:rPr>
        <w:t xml:space="preserve"> (no survivorship, survivorship; straight –life: “win lose” where annuitant lives longer than life expectancy or shorter than life expectancy)</w:t>
      </w:r>
    </w:p>
    <w:p w:rsidR="00E93DC8" w:rsidRDefault="00E93DC8" w:rsidP="00E93DC8">
      <w:pPr>
        <w:pStyle w:val="ListParagraph"/>
        <w:numPr>
          <w:ilvl w:val="4"/>
          <w:numId w:val="14"/>
        </w:numPr>
        <w:shd w:val="clear" w:color="auto" w:fill="FFFFFF"/>
        <w:rPr>
          <w:color w:val="000000"/>
        </w:rPr>
      </w:pPr>
      <w:r>
        <w:rPr>
          <w:color w:val="000000"/>
        </w:rPr>
        <w:t xml:space="preserve">Risk – Do clients/annuitants consider and understand the financial risk (to family members/potential beneficiaries) when selecting single life payments ? Consider a “Refund Feature” </w:t>
      </w:r>
    </w:p>
    <w:p w:rsidR="004936FA" w:rsidRDefault="00E93DC8" w:rsidP="00E93DC8">
      <w:pPr>
        <w:pStyle w:val="ListParagraph"/>
        <w:numPr>
          <w:ilvl w:val="5"/>
          <w:numId w:val="14"/>
        </w:numPr>
        <w:shd w:val="clear" w:color="auto" w:fill="FFFFFF"/>
        <w:rPr>
          <w:color w:val="000000"/>
        </w:rPr>
      </w:pPr>
      <w:r>
        <w:rPr>
          <w:color w:val="000000"/>
        </w:rPr>
        <w:t xml:space="preserve">In defined benefit pension plans as well </w:t>
      </w:r>
      <w:r w:rsidR="004936FA">
        <w:rPr>
          <w:color w:val="000000"/>
        </w:rPr>
        <w:t xml:space="preserve">  </w:t>
      </w:r>
    </w:p>
    <w:p w:rsidR="00E93DC8" w:rsidRDefault="00E93DC8" w:rsidP="00E93DC8">
      <w:pPr>
        <w:pStyle w:val="ListParagraph"/>
        <w:numPr>
          <w:ilvl w:val="3"/>
          <w:numId w:val="14"/>
        </w:numPr>
        <w:shd w:val="clear" w:color="auto" w:fill="FFFFFF"/>
        <w:rPr>
          <w:color w:val="000000"/>
        </w:rPr>
      </w:pPr>
      <w:r>
        <w:rPr>
          <w:color w:val="000000"/>
        </w:rPr>
        <w:t>Joint and survivor (smaller payments compared to a single life)</w:t>
      </w:r>
    </w:p>
    <w:p w:rsidR="00E93DC8" w:rsidRDefault="00E93DC8" w:rsidP="00E93DC8">
      <w:pPr>
        <w:pStyle w:val="ListParagraph"/>
        <w:numPr>
          <w:ilvl w:val="3"/>
          <w:numId w:val="14"/>
        </w:numPr>
        <w:shd w:val="clear" w:color="auto" w:fill="FFFFFF"/>
        <w:rPr>
          <w:color w:val="000000"/>
        </w:rPr>
      </w:pPr>
      <w:r>
        <w:rPr>
          <w:color w:val="000000"/>
        </w:rPr>
        <w:t>Term certain – can reduce the financial detriment of a premature death; potentially a smaller monetary loss upon death prior to full term</w:t>
      </w:r>
    </w:p>
    <w:p w:rsidR="00E93DC8" w:rsidRDefault="00E93DC8" w:rsidP="00E93DC8">
      <w:pPr>
        <w:pStyle w:val="ListParagraph"/>
        <w:numPr>
          <w:ilvl w:val="3"/>
          <w:numId w:val="14"/>
        </w:numPr>
        <w:shd w:val="clear" w:color="auto" w:fill="FFFFFF"/>
        <w:rPr>
          <w:color w:val="000000"/>
        </w:rPr>
      </w:pPr>
      <w:r>
        <w:rPr>
          <w:color w:val="000000"/>
        </w:rPr>
        <w:t>Specified amount until exhausted</w:t>
      </w:r>
    </w:p>
    <w:p w:rsidR="00E13BCB" w:rsidRDefault="00E13BCB" w:rsidP="00E93DC8">
      <w:pPr>
        <w:pStyle w:val="ListParagraph"/>
        <w:numPr>
          <w:ilvl w:val="3"/>
          <w:numId w:val="14"/>
        </w:numPr>
        <w:shd w:val="clear" w:color="auto" w:fill="FFFFFF"/>
        <w:rPr>
          <w:color w:val="000000"/>
        </w:rPr>
      </w:pPr>
      <w:r>
        <w:rPr>
          <w:color w:val="000000"/>
        </w:rPr>
        <w:t>Other types/forms</w:t>
      </w:r>
    </w:p>
    <w:p w:rsidR="00F5728C" w:rsidRDefault="00E93DC8" w:rsidP="00E13BCB">
      <w:pPr>
        <w:pStyle w:val="ListParagraph"/>
        <w:numPr>
          <w:ilvl w:val="4"/>
          <w:numId w:val="14"/>
        </w:numPr>
        <w:shd w:val="clear" w:color="auto" w:fill="FFFFFF"/>
        <w:rPr>
          <w:color w:val="000000"/>
        </w:rPr>
      </w:pPr>
      <w:r>
        <w:rPr>
          <w:color w:val="000000"/>
        </w:rPr>
        <w:t>Certain contracts can contain</w:t>
      </w:r>
      <w:r w:rsidR="00F5728C">
        <w:rPr>
          <w:color w:val="000000"/>
        </w:rPr>
        <w:t xml:space="preserve"> a death benefit or a survivor benefit</w:t>
      </w:r>
    </w:p>
    <w:p w:rsidR="00F5728C" w:rsidRDefault="00F5728C" w:rsidP="00E13BCB">
      <w:pPr>
        <w:pStyle w:val="ListParagraph"/>
        <w:numPr>
          <w:ilvl w:val="4"/>
          <w:numId w:val="14"/>
        </w:numPr>
        <w:shd w:val="clear" w:color="auto" w:fill="FFFFFF"/>
        <w:rPr>
          <w:color w:val="000000"/>
        </w:rPr>
      </w:pPr>
      <w:r>
        <w:rPr>
          <w:color w:val="000000"/>
        </w:rPr>
        <w:t>Acquiring multiple annuities</w:t>
      </w:r>
    </w:p>
    <w:p w:rsidR="00F5728C" w:rsidRDefault="00F5728C" w:rsidP="00E13BCB">
      <w:pPr>
        <w:pStyle w:val="ListParagraph"/>
        <w:numPr>
          <w:ilvl w:val="4"/>
          <w:numId w:val="14"/>
        </w:numPr>
        <w:shd w:val="clear" w:color="auto" w:fill="FFFFFF"/>
        <w:rPr>
          <w:color w:val="000000"/>
        </w:rPr>
      </w:pPr>
      <w:r>
        <w:rPr>
          <w:color w:val="000000"/>
        </w:rPr>
        <w:t>The importance of understanding the client(s)’ lifetime after-tax cash flow needs (medical and long-term care, support, other), current and forecasted balance sheet position and liquidity over a lifetime(s) time horizon (extended life expectancy), total investment allocations and after-tax income/appreciation forecasts, inflation on expenses, life insurance in force, estate plan objectives, post tax estate value, other factors</w:t>
      </w:r>
    </w:p>
    <w:p w:rsidR="00E93DC8" w:rsidRDefault="00F5728C" w:rsidP="00E13BCB">
      <w:pPr>
        <w:pStyle w:val="ListParagraph"/>
        <w:numPr>
          <w:ilvl w:val="4"/>
          <w:numId w:val="14"/>
        </w:numPr>
        <w:shd w:val="clear" w:color="auto" w:fill="FFFFFF"/>
        <w:rPr>
          <w:color w:val="000000"/>
        </w:rPr>
      </w:pPr>
      <w:r>
        <w:rPr>
          <w:color w:val="000000"/>
        </w:rPr>
        <w:t>Evaluating contracts – considerations ?</w:t>
      </w:r>
      <w:r w:rsidR="00E93DC8">
        <w:rPr>
          <w:color w:val="000000"/>
        </w:rPr>
        <w:t xml:space="preserve">  </w:t>
      </w:r>
    </w:p>
    <w:p w:rsidR="00551D70" w:rsidRDefault="00551D70" w:rsidP="00551D70">
      <w:pPr>
        <w:shd w:val="clear" w:color="auto" w:fill="FFFFFF"/>
        <w:ind w:left="360"/>
        <w:rPr>
          <w:color w:val="000000"/>
        </w:rPr>
      </w:pPr>
    </w:p>
    <w:p w:rsidR="00F45816" w:rsidRDefault="00F45816" w:rsidP="00551D70">
      <w:pPr>
        <w:shd w:val="clear" w:color="auto" w:fill="FFFFFF"/>
        <w:ind w:left="360"/>
        <w:rPr>
          <w:color w:val="000000"/>
        </w:rPr>
      </w:pPr>
    </w:p>
    <w:p w:rsidR="00AE7EF7" w:rsidRDefault="00AE7EF7" w:rsidP="00551D70">
      <w:pPr>
        <w:shd w:val="clear" w:color="auto" w:fill="FFFFFF"/>
        <w:ind w:left="360"/>
        <w:rPr>
          <w:color w:val="000000"/>
        </w:rPr>
      </w:pPr>
    </w:p>
    <w:p w:rsidR="00F45816" w:rsidRPr="00551D70" w:rsidRDefault="00F45816" w:rsidP="00551D70">
      <w:pPr>
        <w:shd w:val="clear" w:color="auto" w:fill="FFFFFF"/>
        <w:ind w:left="360"/>
        <w:rPr>
          <w:color w:val="000000"/>
        </w:rPr>
      </w:pPr>
    </w:p>
    <w:p w:rsidR="009D7284" w:rsidRPr="00F45816" w:rsidRDefault="00314D57" w:rsidP="00A331AA">
      <w:pPr>
        <w:pStyle w:val="ListParagraph"/>
        <w:numPr>
          <w:ilvl w:val="1"/>
          <w:numId w:val="14"/>
        </w:numPr>
        <w:shd w:val="clear" w:color="auto" w:fill="FFFFFF"/>
        <w:rPr>
          <w:b/>
          <w:color w:val="000000"/>
        </w:rPr>
      </w:pPr>
      <w:r w:rsidRPr="00F45816">
        <w:rPr>
          <w:b/>
          <w:color w:val="000000"/>
        </w:rPr>
        <w:lastRenderedPageBreak/>
        <w:t>Use of credit shelter trusts to acquire a SPIA</w:t>
      </w:r>
    </w:p>
    <w:p w:rsidR="00314D57" w:rsidRDefault="006E5FC0" w:rsidP="00314D57">
      <w:pPr>
        <w:pStyle w:val="ListParagraph"/>
        <w:numPr>
          <w:ilvl w:val="2"/>
          <w:numId w:val="14"/>
        </w:numPr>
        <w:shd w:val="clear" w:color="auto" w:fill="FFFFFF"/>
        <w:rPr>
          <w:color w:val="000000"/>
        </w:rPr>
      </w:pPr>
      <w:r>
        <w:rPr>
          <w:color w:val="000000"/>
        </w:rPr>
        <w:t>Dilemmas</w:t>
      </w:r>
      <w:r w:rsidR="00314D57">
        <w:rPr>
          <w:color w:val="000000"/>
        </w:rPr>
        <w:t xml:space="preserve"> for trustees and estate planners</w:t>
      </w:r>
    </w:p>
    <w:p w:rsidR="00314D57" w:rsidRDefault="00314D57" w:rsidP="00E32863">
      <w:pPr>
        <w:pStyle w:val="ListParagraph"/>
        <w:numPr>
          <w:ilvl w:val="3"/>
          <w:numId w:val="14"/>
        </w:numPr>
        <w:shd w:val="clear" w:color="auto" w:fill="FFFFFF"/>
        <w:rPr>
          <w:color w:val="000000"/>
        </w:rPr>
      </w:pPr>
      <w:r>
        <w:rPr>
          <w:color w:val="000000"/>
        </w:rPr>
        <w:t>Income to surviving spouse</w:t>
      </w:r>
    </w:p>
    <w:p w:rsidR="00314D57" w:rsidRDefault="00314D57" w:rsidP="00E32863">
      <w:pPr>
        <w:pStyle w:val="ListParagraph"/>
        <w:numPr>
          <w:ilvl w:val="3"/>
          <w:numId w:val="14"/>
        </w:numPr>
        <w:shd w:val="clear" w:color="auto" w:fill="FFFFFF"/>
        <w:rPr>
          <w:color w:val="000000"/>
        </w:rPr>
      </w:pPr>
      <w:r>
        <w:rPr>
          <w:color w:val="000000"/>
        </w:rPr>
        <w:t>Growth of principal for remainder beneficiaries</w:t>
      </w:r>
    </w:p>
    <w:p w:rsidR="00E32863" w:rsidRDefault="00E32863" w:rsidP="00E32863">
      <w:pPr>
        <w:pStyle w:val="ListParagraph"/>
        <w:numPr>
          <w:ilvl w:val="4"/>
          <w:numId w:val="14"/>
        </w:numPr>
        <w:shd w:val="clear" w:color="auto" w:fill="FFFFFF"/>
        <w:rPr>
          <w:color w:val="000000"/>
        </w:rPr>
      </w:pPr>
      <w:r>
        <w:rPr>
          <w:color w:val="000000"/>
        </w:rPr>
        <w:t>Tension between attaining simultaneous income and appreciation</w:t>
      </w:r>
    </w:p>
    <w:p w:rsidR="00E32863" w:rsidRDefault="00E32863" w:rsidP="00E32863">
      <w:pPr>
        <w:pStyle w:val="ListParagraph"/>
        <w:numPr>
          <w:ilvl w:val="2"/>
          <w:numId w:val="14"/>
        </w:numPr>
        <w:shd w:val="clear" w:color="auto" w:fill="FFFFFF"/>
        <w:rPr>
          <w:color w:val="000000"/>
        </w:rPr>
      </w:pPr>
      <w:r>
        <w:rPr>
          <w:color w:val="000000"/>
        </w:rPr>
        <w:t>Purchase an annuity for the income beneficiary, invest remaining trust assets for growth</w:t>
      </w:r>
    </w:p>
    <w:p w:rsidR="00F63173" w:rsidRDefault="00F63173" w:rsidP="00F63173">
      <w:pPr>
        <w:pStyle w:val="ListParagraph"/>
        <w:numPr>
          <w:ilvl w:val="3"/>
          <w:numId w:val="14"/>
        </w:numPr>
        <w:shd w:val="clear" w:color="auto" w:fill="FFFFFF"/>
        <w:rPr>
          <w:color w:val="000000"/>
        </w:rPr>
      </w:pPr>
      <w:r>
        <w:rPr>
          <w:color w:val="000000"/>
        </w:rPr>
        <w:t>Growth investments do not benefit the income beneficiary</w:t>
      </w:r>
    </w:p>
    <w:p w:rsidR="00F63173" w:rsidRDefault="00F63173" w:rsidP="00F63173">
      <w:pPr>
        <w:pStyle w:val="ListParagraph"/>
        <w:numPr>
          <w:ilvl w:val="3"/>
          <w:numId w:val="14"/>
        </w:numPr>
        <w:shd w:val="clear" w:color="auto" w:fill="FFFFFF"/>
        <w:rPr>
          <w:color w:val="000000"/>
        </w:rPr>
      </w:pPr>
      <w:r>
        <w:rPr>
          <w:color w:val="000000"/>
        </w:rPr>
        <w:t>Premium payment more costly for two beneficiaries</w:t>
      </w:r>
    </w:p>
    <w:p w:rsidR="00F63173" w:rsidRDefault="00F63173" w:rsidP="00F63173">
      <w:pPr>
        <w:pStyle w:val="ListParagraph"/>
        <w:numPr>
          <w:ilvl w:val="3"/>
          <w:numId w:val="14"/>
        </w:numPr>
        <w:shd w:val="clear" w:color="auto" w:fill="FFFFFF"/>
        <w:rPr>
          <w:color w:val="000000"/>
        </w:rPr>
      </w:pPr>
      <w:r>
        <w:rPr>
          <w:color w:val="000000"/>
        </w:rPr>
        <w:t>Include a refund feature where an income beneficiary may die sooner</w:t>
      </w:r>
    </w:p>
    <w:p w:rsidR="00F63173" w:rsidRDefault="00F63173" w:rsidP="00F63173">
      <w:pPr>
        <w:pStyle w:val="ListParagraph"/>
        <w:numPr>
          <w:ilvl w:val="3"/>
          <w:numId w:val="14"/>
        </w:numPr>
        <w:shd w:val="clear" w:color="auto" w:fill="FFFFFF"/>
        <w:rPr>
          <w:color w:val="000000"/>
        </w:rPr>
      </w:pPr>
      <w:r>
        <w:rPr>
          <w:color w:val="000000"/>
        </w:rPr>
        <w:t xml:space="preserve">An income beneficiary live longer than life expectancy ? </w:t>
      </w:r>
    </w:p>
    <w:p w:rsidR="00314D57" w:rsidRDefault="00314D57" w:rsidP="00314D57">
      <w:pPr>
        <w:pStyle w:val="ListParagraph"/>
        <w:shd w:val="clear" w:color="auto" w:fill="FFFFFF"/>
        <w:ind w:left="360"/>
        <w:rPr>
          <w:color w:val="000000"/>
        </w:rPr>
      </w:pPr>
    </w:p>
    <w:p w:rsidR="00A331AA" w:rsidRPr="00AE7EF7" w:rsidRDefault="0019306A" w:rsidP="00AE7EF7">
      <w:pPr>
        <w:shd w:val="clear" w:color="auto" w:fill="FFFFFF"/>
        <w:rPr>
          <w:b/>
          <w:color w:val="000000"/>
        </w:rPr>
      </w:pPr>
      <w:r w:rsidRPr="00AE7EF7">
        <w:rPr>
          <w:b/>
          <w:color w:val="000000"/>
        </w:rPr>
        <w:t>Estate Tax Considerations</w:t>
      </w:r>
    </w:p>
    <w:p w:rsidR="00314D57" w:rsidRPr="00314D57" w:rsidRDefault="00314D57" w:rsidP="00314D57">
      <w:pPr>
        <w:shd w:val="clear" w:color="auto" w:fill="FFFFFF"/>
        <w:rPr>
          <w:b/>
          <w:color w:val="000000"/>
        </w:rPr>
      </w:pPr>
    </w:p>
    <w:p w:rsidR="007D5DA3" w:rsidRPr="006D4FA6" w:rsidRDefault="00F45816" w:rsidP="00F45816">
      <w:pPr>
        <w:pStyle w:val="ListParagraph"/>
        <w:numPr>
          <w:ilvl w:val="0"/>
          <w:numId w:val="9"/>
        </w:numPr>
        <w:shd w:val="clear" w:color="auto" w:fill="FFFFFF"/>
        <w:ind w:left="420"/>
        <w:rPr>
          <w:b/>
          <w:color w:val="000000"/>
        </w:rPr>
      </w:pPr>
      <w:r>
        <w:rPr>
          <w:b/>
          <w:color w:val="000000"/>
        </w:rPr>
        <w:t>Considerations include</w:t>
      </w:r>
    </w:p>
    <w:p w:rsidR="006D4FA6" w:rsidRPr="006D4FA6" w:rsidRDefault="006D4FA6" w:rsidP="00F45816">
      <w:pPr>
        <w:shd w:val="clear" w:color="auto" w:fill="FFFFFF"/>
        <w:ind w:left="1080"/>
        <w:rPr>
          <w:color w:val="000000"/>
        </w:rPr>
      </w:pPr>
    </w:p>
    <w:p w:rsidR="003B6E04" w:rsidRDefault="003B6E04" w:rsidP="00F45816">
      <w:pPr>
        <w:pStyle w:val="ListParagraph"/>
        <w:numPr>
          <w:ilvl w:val="1"/>
          <w:numId w:val="9"/>
        </w:numPr>
        <w:shd w:val="clear" w:color="auto" w:fill="FFFFFF"/>
        <w:rPr>
          <w:color w:val="000000"/>
        </w:rPr>
      </w:pPr>
      <w:r w:rsidRPr="00443B68">
        <w:rPr>
          <w:color w:val="000000"/>
        </w:rPr>
        <w:t>Testators</w:t>
      </w:r>
    </w:p>
    <w:p w:rsidR="003B6E04" w:rsidRPr="00443B68" w:rsidRDefault="003B6E04" w:rsidP="00F45816">
      <w:pPr>
        <w:pStyle w:val="ListParagraph"/>
        <w:numPr>
          <w:ilvl w:val="1"/>
          <w:numId w:val="9"/>
        </w:numPr>
        <w:shd w:val="clear" w:color="auto" w:fill="FFFFFF"/>
        <w:rPr>
          <w:color w:val="000000"/>
        </w:rPr>
      </w:pPr>
      <w:r w:rsidRPr="00443B68">
        <w:rPr>
          <w:color w:val="000000"/>
        </w:rPr>
        <w:t>Beneficiaries</w:t>
      </w:r>
    </w:p>
    <w:p w:rsidR="003B6E04" w:rsidRPr="00443B68" w:rsidRDefault="003B6E04" w:rsidP="00F45816">
      <w:pPr>
        <w:pStyle w:val="ListParagraph"/>
        <w:numPr>
          <w:ilvl w:val="1"/>
          <w:numId w:val="9"/>
        </w:numPr>
        <w:shd w:val="clear" w:color="auto" w:fill="FFFFFF"/>
        <w:rPr>
          <w:color w:val="000000"/>
        </w:rPr>
      </w:pPr>
      <w:r w:rsidRPr="00443B68">
        <w:rPr>
          <w:color w:val="000000"/>
        </w:rPr>
        <w:t>Designations</w:t>
      </w:r>
    </w:p>
    <w:p w:rsidR="007576CF" w:rsidRDefault="007576CF" w:rsidP="00F45816">
      <w:pPr>
        <w:pStyle w:val="ListParagraph"/>
        <w:numPr>
          <w:ilvl w:val="1"/>
          <w:numId w:val="9"/>
        </w:numPr>
        <w:shd w:val="clear" w:color="auto" w:fill="FFFFFF"/>
        <w:rPr>
          <w:color w:val="000000"/>
        </w:rPr>
      </w:pPr>
      <w:r>
        <w:rPr>
          <w:color w:val="000000"/>
        </w:rPr>
        <w:t>Asset protection</w:t>
      </w:r>
    </w:p>
    <w:p w:rsidR="007576CF" w:rsidRDefault="007576CF" w:rsidP="00F45816">
      <w:pPr>
        <w:pStyle w:val="ListParagraph"/>
        <w:numPr>
          <w:ilvl w:val="1"/>
          <w:numId w:val="9"/>
        </w:numPr>
        <w:shd w:val="clear" w:color="auto" w:fill="FFFFFF"/>
        <w:rPr>
          <w:color w:val="000000"/>
        </w:rPr>
      </w:pPr>
      <w:r>
        <w:rPr>
          <w:color w:val="000000"/>
        </w:rPr>
        <w:t>Cash flow/distributions control</w:t>
      </w:r>
    </w:p>
    <w:p w:rsidR="003B6E04" w:rsidRDefault="003B6E04" w:rsidP="00F45816">
      <w:pPr>
        <w:pStyle w:val="ListParagraph"/>
        <w:numPr>
          <w:ilvl w:val="1"/>
          <w:numId w:val="9"/>
        </w:numPr>
        <w:shd w:val="clear" w:color="auto" w:fill="FFFFFF"/>
        <w:rPr>
          <w:color w:val="000000"/>
        </w:rPr>
      </w:pPr>
      <w:r w:rsidRPr="00443B68">
        <w:rPr>
          <w:color w:val="000000"/>
        </w:rPr>
        <w:t>Other</w:t>
      </w:r>
    </w:p>
    <w:p w:rsidR="0019306A" w:rsidRPr="00443B68" w:rsidRDefault="0019306A" w:rsidP="00F45816">
      <w:pPr>
        <w:pStyle w:val="ListParagraph"/>
        <w:shd w:val="clear" w:color="auto" w:fill="FFFFFF"/>
        <w:ind w:left="420"/>
        <w:rPr>
          <w:color w:val="000000"/>
        </w:rPr>
      </w:pPr>
    </w:p>
    <w:p w:rsidR="0019306A" w:rsidRPr="006D4FA6" w:rsidRDefault="0019306A" w:rsidP="00F45816">
      <w:pPr>
        <w:pStyle w:val="ListParagraph"/>
        <w:numPr>
          <w:ilvl w:val="0"/>
          <w:numId w:val="9"/>
        </w:numPr>
        <w:shd w:val="clear" w:color="auto" w:fill="FFFFFF"/>
        <w:ind w:left="420"/>
        <w:rPr>
          <w:b/>
          <w:color w:val="000000"/>
        </w:rPr>
      </w:pPr>
      <w:r w:rsidRPr="006D4FA6">
        <w:rPr>
          <w:b/>
          <w:color w:val="000000"/>
        </w:rPr>
        <w:t xml:space="preserve">Estate, </w:t>
      </w:r>
      <w:r w:rsidR="00293B8B" w:rsidRPr="006D4FA6">
        <w:rPr>
          <w:b/>
          <w:color w:val="000000"/>
        </w:rPr>
        <w:t xml:space="preserve">income tax, </w:t>
      </w:r>
      <w:r w:rsidRPr="006D4FA6">
        <w:rPr>
          <w:b/>
          <w:color w:val="000000"/>
        </w:rPr>
        <w:t>financial and retirement planning</w:t>
      </w:r>
      <w:r w:rsidR="00293B8B" w:rsidRPr="006D4FA6">
        <w:rPr>
          <w:b/>
          <w:color w:val="000000"/>
        </w:rPr>
        <w:t>, and investments</w:t>
      </w:r>
      <w:r w:rsidRPr="006D4FA6">
        <w:rPr>
          <w:b/>
          <w:color w:val="000000"/>
        </w:rPr>
        <w:t xml:space="preserve"> involving annuities</w:t>
      </w:r>
      <w:r w:rsidR="00A266DD">
        <w:rPr>
          <w:b/>
          <w:color w:val="000000"/>
        </w:rPr>
        <w:t xml:space="preserve"> – What to consider ?</w:t>
      </w:r>
    </w:p>
    <w:p w:rsidR="0019306A" w:rsidRPr="006D4FA6" w:rsidRDefault="0019306A" w:rsidP="00F45816">
      <w:pPr>
        <w:shd w:val="clear" w:color="auto" w:fill="FFFFFF"/>
        <w:rPr>
          <w:b/>
          <w:color w:val="000000"/>
        </w:rPr>
      </w:pPr>
    </w:p>
    <w:p w:rsidR="00F45816" w:rsidRDefault="0041657D" w:rsidP="00F45816">
      <w:pPr>
        <w:pStyle w:val="ListParagraph"/>
        <w:numPr>
          <w:ilvl w:val="1"/>
          <w:numId w:val="9"/>
        </w:numPr>
        <w:shd w:val="clear" w:color="auto" w:fill="FFFFFF"/>
        <w:rPr>
          <w:color w:val="000000"/>
        </w:rPr>
      </w:pPr>
      <w:r>
        <w:rPr>
          <w:color w:val="000000"/>
        </w:rPr>
        <w:t xml:space="preserve">First, </w:t>
      </w:r>
      <w:r w:rsidR="00F45816">
        <w:rPr>
          <w:color w:val="000000"/>
        </w:rPr>
        <w:t>IRC Se</w:t>
      </w:r>
      <w:r>
        <w:rPr>
          <w:color w:val="000000"/>
        </w:rPr>
        <w:t>c</w:t>
      </w:r>
      <w:r w:rsidR="00F45816">
        <w:rPr>
          <w:color w:val="000000"/>
        </w:rPr>
        <w:t xml:space="preserve"> 20139(a): Includable interests - annuities</w:t>
      </w:r>
    </w:p>
    <w:p w:rsidR="00F45816" w:rsidRDefault="00F45816" w:rsidP="00F45816">
      <w:pPr>
        <w:pStyle w:val="ListParagraph"/>
        <w:numPr>
          <w:ilvl w:val="2"/>
          <w:numId w:val="9"/>
        </w:numPr>
        <w:shd w:val="clear" w:color="auto" w:fill="FFFFFF"/>
        <w:rPr>
          <w:color w:val="000000"/>
        </w:rPr>
      </w:pPr>
      <w:r>
        <w:rPr>
          <w:color w:val="000000"/>
        </w:rPr>
        <w:t>Payable to the decedent, or</w:t>
      </w:r>
    </w:p>
    <w:p w:rsidR="00F45816" w:rsidRDefault="00F45816" w:rsidP="00F45816">
      <w:pPr>
        <w:pStyle w:val="ListParagraph"/>
        <w:numPr>
          <w:ilvl w:val="2"/>
          <w:numId w:val="9"/>
        </w:numPr>
        <w:shd w:val="clear" w:color="auto" w:fill="FFFFFF"/>
        <w:rPr>
          <w:color w:val="000000"/>
        </w:rPr>
      </w:pPr>
      <w:r>
        <w:rPr>
          <w:color w:val="000000"/>
        </w:rPr>
        <w:t>Received the right to receive</w:t>
      </w:r>
    </w:p>
    <w:p w:rsidR="0041657D" w:rsidRDefault="0041657D" w:rsidP="00F45816">
      <w:pPr>
        <w:pStyle w:val="ListParagraph"/>
        <w:numPr>
          <w:ilvl w:val="1"/>
          <w:numId w:val="9"/>
        </w:numPr>
        <w:shd w:val="clear" w:color="auto" w:fill="FFFFFF"/>
        <w:rPr>
          <w:color w:val="000000"/>
        </w:rPr>
      </w:pPr>
      <w:r>
        <w:rPr>
          <w:color w:val="000000"/>
        </w:rPr>
        <w:t>Second, general overview</w:t>
      </w:r>
    </w:p>
    <w:p w:rsidR="00293B8B" w:rsidRDefault="00293B8B" w:rsidP="0041657D">
      <w:pPr>
        <w:pStyle w:val="ListParagraph"/>
        <w:numPr>
          <w:ilvl w:val="2"/>
          <w:numId w:val="9"/>
        </w:numPr>
        <w:shd w:val="clear" w:color="auto" w:fill="FFFFFF"/>
        <w:rPr>
          <w:color w:val="000000"/>
        </w:rPr>
      </w:pPr>
      <w:r w:rsidRPr="00443B68">
        <w:rPr>
          <w:color w:val="000000"/>
        </w:rPr>
        <w:t xml:space="preserve">Variable </w:t>
      </w:r>
      <w:r>
        <w:rPr>
          <w:color w:val="000000"/>
        </w:rPr>
        <w:t xml:space="preserve">and fixed, immediate and deferred </w:t>
      </w:r>
      <w:r w:rsidRPr="00443B68">
        <w:rPr>
          <w:color w:val="000000"/>
        </w:rPr>
        <w:t>annuities</w:t>
      </w:r>
      <w:r>
        <w:rPr>
          <w:color w:val="000000"/>
        </w:rPr>
        <w:t>,</w:t>
      </w:r>
      <w:r w:rsidRPr="00443B68">
        <w:rPr>
          <w:color w:val="000000"/>
        </w:rPr>
        <w:t xml:space="preserve"> and guarantees</w:t>
      </w:r>
    </w:p>
    <w:p w:rsidR="0019306A" w:rsidRPr="00443B68" w:rsidRDefault="0019306A" w:rsidP="0041657D">
      <w:pPr>
        <w:pStyle w:val="ListParagraph"/>
        <w:numPr>
          <w:ilvl w:val="2"/>
          <w:numId w:val="9"/>
        </w:numPr>
        <w:shd w:val="clear" w:color="auto" w:fill="FFFFFF"/>
        <w:rPr>
          <w:color w:val="000000"/>
        </w:rPr>
      </w:pPr>
      <w:r w:rsidRPr="00443B68">
        <w:rPr>
          <w:color w:val="000000"/>
        </w:rPr>
        <w:t>SPIAs</w:t>
      </w:r>
      <w:r w:rsidR="00293B8B">
        <w:rPr>
          <w:color w:val="000000"/>
        </w:rPr>
        <w:t xml:space="preserve"> and other annuity vehicles</w:t>
      </w:r>
    </w:p>
    <w:p w:rsidR="002218ED" w:rsidRDefault="00F45816" w:rsidP="0041657D">
      <w:pPr>
        <w:pStyle w:val="ListParagraph"/>
        <w:numPr>
          <w:ilvl w:val="2"/>
          <w:numId w:val="9"/>
        </w:numPr>
        <w:shd w:val="clear" w:color="auto" w:fill="FFFFFF"/>
        <w:rPr>
          <w:color w:val="000000"/>
        </w:rPr>
      </w:pPr>
      <w:r>
        <w:rPr>
          <w:color w:val="000000"/>
        </w:rPr>
        <w:t>GRA</w:t>
      </w:r>
      <w:r w:rsidR="002218ED">
        <w:rPr>
          <w:color w:val="000000"/>
        </w:rPr>
        <w:t>Ts and GRUTs</w:t>
      </w:r>
    </w:p>
    <w:p w:rsidR="0019306A" w:rsidRPr="00443B68" w:rsidRDefault="0019306A" w:rsidP="0041657D">
      <w:pPr>
        <w:pStyle w:val="ListParagraph"/>
        <w:numPr>
          <w:ilvl w:val="2"/>
          <w:numId w:val="9"/>
        </w:numPr>
        <w:shd w:val="clear" w:color="auto" w:fill="FFFFFF"/>
        <w:rPr>
          <w:color w:val="000000"/>
        </w:rPr>
      </w:pPr>
      <w:r w:rsidRPr="00443B68">
        <w:rPr>
          <w:color w:val="000000"/>
        </w:rPr>
        <w:t>credit shelter trusts</w:t>
      </w:r>
    </w:p>
    <w:p w:rsidR="0019306A" w:rsidRPr="00443B68" w:rsidRDefault="0019306A" w:rsidP="0041657D">
      <w:pPr>
        <w:pStyle w:val="ListParagraph"/>
        <w:numPr>
          <w:ilvl w:val="2"/>
          <w:numId w:val="9"/>
        </w:numPr>
        <w:shd w:val="clear" w:color="auto" w:fill="FFFFFF"/>
        <w:rPr>
          <w:color w:val="000000"/>
        </w:rPr>
      </w:pPr>
      <w:r w:rsidRPr="00443B68">
        <w:rPr>
          <w:color w:val="000000"/>
        </w:rPr>
        <w:t>lifetime gifts to heirs</w:t>
      </w:r>
    </w:p>
    <w:p w:rsidR="0019306A" w:rsidRPr="00443B68" w:rsidRDefault="0019306A" w:rsidP="0041657D">
      <w:pPr>
        <w:pStyle w:val="ListParagraph"/>
        <w:numPr>
          <w:ilvl w:val="2"/>
          <w:numId w:val="9"/>
        </w:numPr>
        <w:shd w:val="clear" w:color="auto" w:fill="FFFFFF"/>
        <w:rPr>
          <w:color w:val="000000"/>
        </w:rPr>
      </w:pPr>
      <w:r w:rsidRPr="00443B68">
        <w:rPr>
          <w:color w:val="000000"/>
        </w:rPr>
        <w:t>benefits for employees</w:t>
      </w:r>
    </w:p>
    <w:p w:rsidR="0019306A" w:rsidRDefault="0019306A" w:rsidP="0041657D">
      <w:pPr>
        <w:pStyle w:val="ListParagraph"/>
        <w:numPr>
          <w:ilvl w:val="2"/>
          <w:numId w:val="9"/>
        </w:numPr>
        <w:shd w:val="clear" w:color="auto" w:fill="FFFFFF"/>
        <w:rPr>
          <w:color w:val="000000"/>
        </w:rPr>
      </w:pPr>
      <w:r w:rsidRPr="00443B68">
        <w:rPr>
          <w:color w:val="000000"/>
        </w:rPr>
        <w:t>Family financial planning considerations</w:t>
      </w:r>
    </w:p>
    <w:p w:rsidR="0019306A" w:rsidRPr="0019306A" w:rsidRDefault="0019306A" w:rsidP="00F45816">
      <w:pPr>
        <w:shd w:val="clear" w:color="auto" w:fill="FFFFFF"/>
        <w:ind w:left="1080"/>
        <w:rPr>
          <w:color w:val="000000"/>
        </w:rPr>
      </w:pPr>
    </w:p>
    <w:p w:rsidR="0019306A" w:rsidRDefault="0019306A" w:rsidP="00F45816">
      <w:pPr>
        <w:shd w:val="clear" w:color="auto" w:fill="FFFFFF"/>
        <w:rPr>
          <w:color w:val="000000"/>
        </w:rPr>
      </w:pPr>
    </w:p>
    <w:p w:rsidR="00AE7EF7" w:rsidRDefault="00AE7EF7" w:rsidP="00F45816">
      <w:pPr>
        <w:shd w:val="clear" w:color="auto" w:fill="FFFFFF"/>
        <w:rPr>
          <w:color w:val="000000"/>
        </w:rPr>
      </w:pPr>
    </w:p>
    <w:p w:rsidR="00AE7EF7" w:rsidRDefault="00AE7EF7" w:rsidP="00F45816">
      <w:pPr>
        <w:shd w:val="clear" w:color="auto" w:fill="FFFFFF"/>
        <w:rPr>
          <w:color w:val="000000"/>
        </w:rPr>
      </w:pPr>
    </w:p>
    <w:p w:rsidR="00AE7EF7" w:rsidRDefault="00AE7EF7" w:rsidP="00F45816">
      <w:pPr>
        <w:shd w:val="clear" w:color="auto" w:fill="FFFFFF"/>
        <w:rPr>
          <w:color w:val="000000"/>
        </w:rPr>
      </w:pPr>
    </w:p>
    <w:p w:rsidR="00AE7EF7" w:rsidRDefault="00AE7EF7" w:rsidP="00F45816">
      <w:pPr>
        <w:shd w:val="clear" w:color="auto" w:fill="FFFFFF"/>
        <w:rPr>
          <w:color w:val="000000"/>
        </w:rPr>
      </w:pPr>
    </w:p>
    <w:p w:rsidR="00AE7EF7" w:rsidRDefault="00AE7EF7" w:rsidP="00F45816">
      <w:pPr>
        <w:shd w:val="clear" w:color="auto" w:fill="FFFFFF"/>
        <w:rPr>
          <w:color w:val="000000"/>
        </w:rPr>
      </w:pPr>
    </w:p>
    <w:p w:rsidR="00AE7EF7" w:rsidRPr="0019306A" w:rsidRDefault="00AE7EF7" w:rsidP="00F45816">
      <w:pPr>
        <w:shd w:val="clear" w:color="auto" w:fill="FFFFFF"/>
        <w:rPr>
          <w:color w:val="000000"/>
        </w:rPr>
      </w:pPr>
    </w:p>
    <w:p w:rsidR="007D5DA3" w:rsidRPr="00AE7EF7" w:rsidRDefault="00F45816" w:rsidP="00AE7EF7">
      <w:pPr>
        <w:shd w:val="clear" w:color="auto" w:fill="FFFFFF"/>
        <w:rPr>
          <w:b/>
          <w:color w:val="000000"/>
        </w:rPr>
      </w:pPr>
      <w:r w:rsidRPr="00AE7EF7">
        <w:rPr>
          <w:b/>
          <w:color w:val="000000"/>
        </w:rPr>
        <w:lastRenderedPageBreak/>
        <w:t xml:space="preserve">Twelve </w:t>
      </w:r>
      <w:r w:rsidR="004C2533" w:rsidRPr="00AE7EF7">
        <w:rPr>
          <w:b/>
          <w:color w:val="000000"/>
        </w:rPr>
        <w:t xml:space="preserve">planning concepts </w:t>
      </w:r>
      <w:r w:rsidR="007D5DA3" w:rsidRPr="00AE7EF7">
        <w:rPr>
          <w:b/>
          <w:color w:val="000000"/>
        </w:rPr>
        <w:t>to be aware of</w:t>
      </w:r>
      <w:r w:rsidR="00F34FBC" w:rsidRPr="00AE7EF7">
        <w:rPr>
          <w:b/>
          <w:color w:val="000000"/>
        </w:rPr>
        <w:t xml:space="preserve"> (evaluating annuity illustrations is a must)</w:t>
      </w:r>
    </w:p>
    <w:p w:rsidR="006D4FA6" w:rsidRPr="006D4FA6" w:rsidRDefault="006D4FA6" w:rsidP="006D4FA6">
      <w:pPr>
        <w:shd w:val="clear" w:color="auto" w:fill="FFFFFF"/>
        <w:rPr>
          <w:b/>
          <w:color w:val="000000"/>
        </w:rPr>
      </w:pPr>
    </w:p>
    <w:p w:rsidR="00314D57" w:rsidRDefault="00314D57" w:rsidP="00314D57">
      <w:pPr>
        <w:pStyle w:val="ListParagraph"/>
        <w:numPr>
          <w:ilvl w:val="1"/>
          <w:numId w:val="9"/>
        </w:numPr>
        <w:shd w:val="clear" w:color="auto" w:fill="FFFFFF"/>
        <w:rPr>
          <w:color w:val="000000"/>
        </w:rPr>
      </w:pPr>
      <w:r>
        <w:rPr>
          <w:color w:val="000000"/>
        </w:rPr>
        <w:t>Trust acquires an immediate annuity naming the income beneficiary as the annuitant; invest all remaining assets with a growth objective</w:t>
      </w:r>
    </w:p>
    <w:p w:rsidR="00314D57" w:rsidRDefault="007576CF" w:rsidP="007576CF">
      <w:pPr>
        <w:pStyle w:val="ListParagraph"/>
        <w:numPr>
          <w:ilvl w:val="2"/>
          <w:numId w:val="9"/>
        </w:numPr>
        <w:shd w:val="clear" w:color="auto" w:fill="FFFFFF"/>
        <w:rPr>
          <w:color w:val="000000"/>
        </w:rPr>
      </w:pPr>
      <w:r>
        <w:rPr>
          <w:color w:val="000000"/>
        </w:rPr>
        <w:t>Document risk tolerance and income/capital needs of all beneficiaries; c</w:t>
      </w:r>
      <w:r w:rsidR="00314D57">
        <w:rPr>
          <w:color w:val="000000"/>
        </w:rPr>
        <w:t>onsider</w:t>
      </w:r>
      <w:r>
        <w:rPr>
          <w:color w:val="000000"/>
        </w:rPr>
        <w:t xml:space="preserve"> an investment policy statement involving all beneficiaries and the trustee(s); Modern Portfolio Theory design strategy; monitor results and fees; watch list and modify as necessary </w:t>
      </w:r>
      <w:r w:rsidR="00314D57">
        <w:rPr>
          <w:color w:val="000000"/>
        </w:rPr>
        <w:t xml:space="preserve"> </w:t>
      </w:r>
    </w:p>
    <w:p w:rsidR="004C2533" w:rsidRDefault="007576CF" w:rsidP="007576CF">
      <w:pPr>
        <w:pStyle w:val="ListParagraph"/>
        <w:numPr>
          <w:ilvl w:val="2"/>
          <w:numId w:val="9"/>
        </w:numPr>
        <w:shd w:val="clear" w:color="auto" w:fill="FFFFFF"/>
        <w:rPr>
          <w:color w:val="000000"/>
        </w:rPr>
      </w:pPr>
      <w:r>
        <w:rPr>
          <w:color w:val="000000"/>
        </w:rPr>
        <w:t>Trust acquires SPIA for heirs outside of a trust</w:t>
      </w:r>
    </w:p>
    <w:p w:rsidR="00314D57" w:rsidRDefault="004C2533" w:rsidP="007576CF">
      <w:pPr>
        <w:pStyle w:val="ListParagraph"/>
        <w:numPr>
          <w:ilvl w:val="2"/>
          <w:numId w:val="9"/>
        </w:numPr>
        <w:shd w:val="clear" w:color="auto" w:fill="FFFFFF"/>
        <w:rPr>
          <w:color w:val="000000"/>
        </w:rPr>
      </w:pPr>
      <w:r>
        <w:rPr>
          <w:color w:val="000000"/>
        </w:rPr>
        <w:t>Protection from creditors, divorce</w:t>
      </w:r>
      <w:r w:rsidR="00314D57">
        <w:rPr>
          <w:color w:val="000000"/>
        </w:rPr>
        <w:t xml:space="preserve"> </w:t>
      </w:r>
    </w:p>
    <w:p w:rsidR="006D4FA6" w:rsidRPr="006D4FA6" w:rsidRDefault="006D4FA6" w:rsidP="006D4FA6">
      <w:pPr>
        <w:shd w:val="clear" w:color="auto" w:fill="FFFFFF"/>
        <w:ind w:left="1800"/>
        <w:rPr>
          <w:color w:val="000000"/>
        </w:rPr>
      </w:pPr>
    </w:p>
    <w:p w:rsidR="007D5DA3" w:rsidRDefault="007D5DA3" w:rsidP="007576CF">
      <w:pPr>
        <w:pStyle w:val="ListParagraph"/>
        <w:numPr>
          <w:ilvl w:val="1"/>
          <w:numId w:val="9"/>
        </w:numPr>
        <w:shd w:val="clear" w:color="auto" w:fill="FFFFFF"/>
        <w:rPr>
          <w:color w:val="000000"/>
        </w:rPr>
      </w:pPr>
      <w:r w:rsidRPr="00443B68">
        <w:rPr>
          <w:color w:val="000000"/>
        </w:rPr>
        <w:t>Immediate annuities for heirs outside of trusts</w:t>
      </w:r>
    </w:p>
    <w:p w:rsidR="007576CF" w:rsidRDefault="007576CF" w:rsidP="007576CF">
      <w:pPr>
        <w:pStyle w:val="ListParagraph"/>
        <w:numPr>
          <w:ilvl w:val="2"/>
          <w:numId w:val="9"/>
        </w:numPr>
        <w:shd w:val="clear" w:color="auto" w:fill="FFFFFF"/>
        <w:rPr>
          <w:color w:val="000000"/>
        </w:rPr>
      </w:pPr>
      <w:r>
        <w:rPr>
          <w:color w:val="000000"/>
        </w:rPr>
        <w:t>Specific and certain income for specified heirs</w:t>
      </w:r>
    </w:p>
    <w:p w:rsidR="007576CF" w:rsidRDefault="007576CF" w:rsidP="007576CF">
      <w:pPr>
        <w:pStyle w:val="ListParagraph"/>
        <w:numPr>
          <w:ilvl w:val="2"/>
          <w:numId w:val="9"/>
        </w:numPr>
        <w:shd w:val="clear" w:color="auto" w:fill="FFFFFF"/>
        <w:rPr>
          <w:color w:val="000000"/>
        </w:rPr>
      </w:pPr>
      <w:r>
        <w:rPr>
          <w:color w:val="000000"/>
        </w:rPr>
        <w:t>Disadvantage: ove</w:t>
      </w:r>
      <w:r w:rsidR="004C2533">
        <w:rPr>
          <w:color w:val="000000"/>
        </w:rPr>
        <w:t>rhead costs, surrender charges</w:t>
      </w:r>
    </w:p>
    <w:p w:rsidR="006D4FA6" w:rsidRPr="006D4FA6" w:rsidRDefault="006D4FA6" w:rsidP="006D4FA6">
      <w:pPr>
        <w:shd w:val="clear" w:color="auto" w:fill="FFFFFF"/>
        <w:ind w:left="1800"/>
        <w:rPr>
          <w:color w:val="000000"/>
        </w:rPr>
      </w:pPr>
    </w:p>
    <w:p w:rsidR="004C2533" w:rsidRDefault="004C2533" w:rsidP="004C2533">
      <w:pPr>
        <w:pStyle w:val="ListParagraph"/>
        <w:numPr>
          <w:ilvl w:val="1"/>
          <w:numId w:val="9"/>
        </w:numPr>
        <w:shd w:val="clear" w:color="auto" w:fill="FFFFFF"/>
        <w:rPr>
          <w:color w:val="000000"/>
        </w:rPr>
      </w:pPr>
      <w:r>
        <w:rPr>
          <w:color w:val="000000"/>
        </w:rPr>
        <w:t>Purchase of a deferred annuity for heirs</w:t>
      </w:r>
    </w:p>
    <w:p w:rsidR="004C2533" w:rsidRDefault="004C2533" w:rsidP="004C2533">
      <w:pPr>
        <w:pStyle w:val="ListParagraph"/>
        <w:numPr>
          <w:ilvl w:val="2"/>
          <w:numId w:val="9"/>
        </w:numPr>
        <w:shd w:val="clear" w:color="auto" w:fill="FFFFFF"/>
        <w:rPr>
          <w:color w:val="000000"/>
        </w:rPr>
      </w:pPr>
      <w:r>
        <w:rPr>
          <w:color w:val="000000"/>
        </w:rPr>
        <w:t>When certain income is needed for heirs at a future date</w:t>
      </w:r>
    </w:p>
    <w:p w:rsidR="004C2533" w:rsidRDefault="004C2533" w:rsidP="004C2533">
      <w:pPr>
        <w:pStyle w:val="ListParagraph"/>
        <w:numPr>
          <w:ilvl w:val="2"/>
          <w:numId w:val="9"/>
        </w:numPr>
        <w:shd w:val="clear" w:color="auto" w:fill="FFFFFF"/>
        <w:rPr>
          <w:color w:val="000000"/>
        </w:rPr>
      </w:pPr>
      <w:r>
        <w:rPr>
          <w:color w:val="000000"/>
        </w:rPr>
        <w:t>Tax deferral of capital gains can arise</w:t>
      </w:r>
    </w:p>
    <w:p w:rsidR="004C2533" w:rsidRDefault="004C2533" w:rsidP="004C2533">
      <w:pPr>
        <w:pStyle w:val="ListParagraph"/>
        <w:numPr>
          <w:ilvl w:val="2"/>
          <w:numId w:val="9"/>
        </w:numPr>
        <w:shd w:val="clear" w:color="auto" w:fill="FFFFFF"/>
        <w:rPr>
          <w:color w:val="000000"/>
        </w:rPr>
      </w:pPr>
      <w:r>
        <w:rPr>
          <w:color w:val="000000"/>
        </w:rPr>
        <w:t>If the annuity is acquired via trust, creditor protection</w:t>
      </w:r>
    </w:p>
    <w:p w:rsidR="004C2533" w:rsidRDefault="004C2533" w:rsidP="004C2533">
      <w:pPr>
        <w:pStyle w:val="ListParagraph"/>
        <w:numPr>
          <w:ilvl w:val="2"/>
          <w:numId w:val="9"/>
        </w:numPr>
        <w:shd w:val="clear" w:color="auto" w:fill="FFFFFF"/>
        <w:rPr>
          <w:color w:val="000000"/>
        </w:rPr>
      </w:pPr>
      <w:r>
        <w:rPr>
          <w:color w:val="000000"/>
        </w:rPr>
        <w:t xml:space="preserve">Disadvantages – costs, </w:t>
      </w:r>
      <w:r w:rsidR="00E428C6">
        <w:rPr>
          <w:color w:val="000000"/>
        </w:rPr>
        <w:t>unavailability of basis step-up when owned by a decedent and ordinary income tax on distributions</w:t>
      </w:r>
    </w:p>
    <w:p w:rsidR="006D4FA6" w:rsidRDefault="006D4FA6" w:rsidP="006D4FA6">
      <w:pPr>
        <w:shd w:val="clear" w:color="auto" w:fill="FFFFFF"/>
        <w:ind w:left="1800"/>
        <w:rPr>
          <w:color w:val="000000"/>
        </w:rPr>
      </w:pPr>
    </w:p>
    <w:p w:rsidR="00E428C6" w:rsidRDefault="00E428C6" w:rsidP="00E428C6">
      <w:pPr>
        <w:pStyle w:val="ListParagraph"/>
        <w:numPr>
          <w:ilvl w:val="1"/>
          <w:numId w:val="9"/>
        </w:numPr>
        <w:shd w:val="clear" w:color="auto" w:fill="FFFFFF"/>
        <w:rPr>
          <w:color w:val="000000"/>
        </w:rPr>
      </w:pPr>
      <w:r>
        <w:rPr>
          <w:color w:val="000000"/>
        </w:rPr>
        <w:t>Purchase of SPIA by estate owner and spouse – Opportunity to make lifetime gifts</w:t>
      </w:r>
    </w:p>
    <w:p w:rsidR="00E428C6" w:rsidRDefault="00E428C6" w:rsidP="00E428C6">
      <w:pPr>
        <w:pStyle w:val="ListParagraph"/>
        <w:numPr>
          <w:ilvl w:val="2"/>
          <w:numId w:val="9"/>
        </w:numPr>
        <w:shd w:val="clear" w:color="auto" w:fill="FFFFFF"/>
        <w:rPr>
          <w:color w:val="000000"/>
        </w:rPr>
      </w:pPr>
      <w:r>
        <w:rPr>
          <w:color w:val="000000"/>
        </w:rPr>
        <w:t>Enhances ability and confidence to make lifetime gifts</w:t>
      </w:r>
    </w:p>
    <w:p w:rsidR="00E428C6" w:rsidRDefault="00E428C6" w:rsidP="00E428C6">
      <w:pPr>
        <w:pStyle w:val="ListParagraph"/>
        <w:numPr>
          <w:ilvl w:val="2"/>
          <w:numId w:val="9"/>
        </w:numPr>
        <w:shd w:val="clear" w:color="auto" w:fill="FFFFFF"/>
        <w:rPr>
          <w:color w:val="000000"/>
        </w:rPr>
      </w:pPr>
      <w:r>
        <w:rPr>
          <w:color w:val="000000"/>
        </w:rPr>
        <w:t xml:space="preserve">A hedge against the concern of “running out of money” </w:t>
      </w:r>
    </w:p>
    <w:p w:rsidR="00F34FBC" w:rsidRDefault="00F34FBC" w:rsidP="00E428C6">
      <w:pPr>
        <w:pStyle w:val="ListParagraph"/>
        <w:numPr>
          <w:ilvl w:val="2"/>
          <w:numId w:val="9"/>
        </w:numPr>
        <w:shd w:val="clear" w:color="auto" w:fill="FFFFFF"/>
        <w:rPr>
          <w:color w:val="000000"/>
        </w:rPr>
      </w:pPr>
      <w:r>
        <w:rPr>
          <w:color w:val="000000"/>
        </w:rPr>
        <w:t>A surviving spouse’s income is potentially enhanced</w:t>
      </w:r>
    </w:p>
    <w:p w:rsidR="00F34FBC" w:rsidRDefault="00F34FBC" w:rsidP="00E428C6">
      <w:pPr>
        <w:pStyle w:val="ListParagraph"/>
        <w:numPr>
          <w:ilvl w:val="2"/>
          <w:numId w:val="9"/>
        </w:numPr>
        <w:shd w:val="clear" w:color="auto" w:fill="FFFFFF"/>
        <w:rPr>
          <w:color w:val="000000"/>
        </w:rPr>
      </w:pPr>
      <w:r>
        <w:rPr>
          <w:color w:val="000000"/>
        </w:rPr>
        <w:t>Increase possibility of greater asset transfers to family and charity</w:t>
      </w:r>
    </w:p>
    <w:p w:rsidR="00F34FBC" w:rsidRDefault="00F34FBC" w:rsidP="00E428C6">
      <w:pPr>
        <w:pStyle w:val="ListParagraph"/>
        <w:numPr>
          <w:ilvl w:val="2"/>
          <w:numId w:val="9"/>
        </w:numPr>
        <w:shd w:val="clear" w:color="auto" w:fill="FFFFFF"/>
        <w:rPr>
          <w:color w:val="000000"/>
        </w:rPr>
      </w:pPr>
      <w:r>
        <w:rPr>
          <w:color w:val="000000"/>
        </w:rPr>
        <w:t>Both (either) deferred and immediate annuities can be effective, based on facts and assumptions</w:t>
      </w:r>
    </w:p>
    <w:p w:rsidR="006D4FA6" w:rsidRPr="006D4FA6" w:rsidRDefault="006D4FA6" w:rsidP="006D4FA6">
      <w:pPr>
        <w:shd w:val="clear" w:color="auto" w:fill="FFFFFF"/>
        <w:ind w:left="1800"/>
        <w:rPr>
          <w:color w:val="000000"/>
        </w:rPr>
      </w:pPr>
    </w:p>
    <w:p w:rsidR="00F34FBC" w:rsidRDefault="00F34FBC" w:rsidP="00F34FBC">
      <w:pPr>
        <w:pStyle w:val="ListParagraph"/>
        <w:numPr>
          <w:ilvl w:val="1"/>
          <w:numId w:val="9"/>
        </w:numPr>
        <w:shd w:val="clear" w:color="auto" w:fill="FFFFFF"/>
        <w:rPr>
          <w:color w:val="000000"/>
        </w:rPr>
      </w:pPr>
      <w:r>
        <w:rPr>
          <w:color w:val="000000"/>
        </w:rPr>
        <w:t>Using a variable deferred annuity to provide death benefit to an uninsurable estate owner</w:t>
      </w:r>
    </w:p>
    <w:p w:rsidR="00F34FBC" w:rsidRDefault="00F34FBC" w:rsidP="00F34FBC">
      <w:pPr>
        <w:pStyle w:val="ListParagraph"/>
        <w:numPr>
          <w:ilvl w:val="2"/>
          <w:numId w:val="9"/>
        </w:numPr>
        <w:shd w:val="clear" w:color="auto" w:fill="FFFFFF"/>
        <w:rPr>
          <w:color w:val="000000"/>
        </w:rPr>
      </w:pPr>
      <w:r>
        <w:rPr>
          <w:color w:val="000000"/>
        </w:rPr>
        <w:t>A deferred annuity is not life insurance. A contract qualifying as life insurance under IRC Sec. 7702 has a death benefit that is taxed differently (under IRC Sec. 101) than a contract qualifying as an annuity under IRC Sec. 72</w:t>
      </w:r>
    </w:p>
    <w:p w:rsidR="006E5FC0" w:rsidRDefault="006E5FC0" w:rsidP="00F34FBC">
      <w:pPr>
        <w:pStyle w:val="ListParagraph"/>
        <w:numPr>
          <w:ilvl w:val="2"/>
          <w:numId w:val="9"/>
        </w:numPr>
        <w:shd w:val="clear" w:color="auto" w:fill="FFFFFF"/>
        <w:rPr>
          <w:color w:val="000000"/>
        </w:rPr>
      </w:pPr>
      <w:r>
        <w:rPr>
          <w:color w:val="000000"/>
        </w:rPr>
        <w:t>A variable deferred annuity often provides a death benefit in excess of the contract’s cash value, compared to the death benefit of a fixed deferred annuity is limited to the cash value; an advantage is significant for an individual who cannot obtain insurance or for whom the premiums would be unacceptably high; the death benefit is taxable however there is no insurance underwriting process</w:t>
      </w:r>
    </w:p>
    <w:p w:rsidR="003A49DE" w:rsidRDefault="006E5FC0" w:rsidP="00F34FBC">
      <w:pPr>
        <w:pStyle w:val="ListParagraph"/>
        <w:numPr>
          <w:ilvl w:val="2"/>
          <w:numId w:val="9"/>
        </w:numPr>
        <w:shd w:val="clear" w:color="auto" w:fill="FFFFFF"/>
        <w:rPr>
          <w:color w:val="000000"/>
        </w:rPr>
      </w:pPr>
      <w:r>
        <w:rPr>
          <w:color w:val="000000"/>
        </w:rPr>
        <w:t>Some advisors recommend variable annuities with strong enhanced death benefit guarantees; further a single annuity could be split into more than one annuity contract</w:t>
      </w:r>
    </w:p>
    <w:p w:rsidR="006D4FA6" w:rsidRPr="006D4FA6" w:rsidRDefault="006D4FA6" w:rsidP="006D4FA6">
      <w:pPr>
        <w:shd w:val="clear" w:color="auto" w:fill="FFFFFF"/>
        <w:ind w:left="1800"/>
        <w:rPr>
          <w:color w:val="000000"/>
        </w:rPr>
      </w:pPr>
    </w:p>
    <w:p w:rsidR="003A49DE" w:rsidRDefault="003A49DE" w:rsidP="003A49DE">
      <w:pPr>
        <w:pStyle w:val="ListParagraph"/>
        <w:numPr>
          <w:ilvl w:val="1"/>
          <w:numId w:val="9"/>
        </w:numPr>
        <w:shd w:val="clear" w:color="auto" w:fill="FFFFFF"/>
        <w:rPr>
          <w:color w:val="000000"/>
        </w:rPr>
      </w:pPr>
      <w:r>
        <w:rPr>
          <w:color w:val="000000"/>
        </w:rPr>
        <w:t>Using the guarantees in a deferred annuity to provide portfolio insurance</w:t>
      </w:r>
    </w:p>
    <w:p w:rsidR="003A49DE" w:rsidRDefault="003A49DE" w:rsidP="003A49DE">
      <w:pPr>
        <w:pStyle w:val="ListParagraph"/>
        <w:numPr>
          <w:ilvl w:val="2"/>
          <w:numId w:val="9"/>
        </w:numPr>
        <w:shd w:val="clear" w:color="auto" w:fill="FFFFFF"/>
        <w:rPr>
          <w:color w:val="000000"/>
        </w:rPr>
      </w:pPr>
      <w:r>
        <w:rPr>
          <w:color w:val="000000"/>
        </w:rPr>
        <w:t>A fixed deferred annuity provides three guarantees to its owner</w:t>
      </w:r>
    </w:p>
    <w:p w:rsidR="003A49DE" w:rsidRDefault="003A49DE" w:rsidP="003A49DE">
      <w:pPr>
        <w:pStyle w:val="ListParagraph"/>
        <w:numPr>
          <w:ilvl w:val="3"/>
          <w:numId w:val="9"/>
        </w:numPr>
        <w:shd w:val="clear" w:color="auto" w:fill="FFFFFF"/>
        <w:rPr>
          <w:color w:val="000000"/>
        </w:rPr>
      </w:pPr>
      <w:r>
        <w:rPr>
          <w:color w:val="000000"/>
        </w:rPr>
        <w:t>A guarantee of principal</w:t>
      </w:r>
    </w:p>
    <w:p w:rsidR="003A49DE" w:rsidRDefault="003A49DE" w:rsidP="003A49DE">
      <w:pPr>
        <w:pStyle w:val="ListParagraph"/>
        <w:numPr>
          <w:ilvl w:val="3"/>
          <w:numId w:val="9"/>
        </w:numPr>
        <w:shd w:val="clear" w:color="auto" w:fill="FFFFFF"/>
        <w:rPr>
          <w:color w:val="000000"/>
        </w:rPr>
      </w:pPr>
      <w:r>
        <w:rPr>
          <w:color w:val="000000"/>
        </w:rPr>
        <w:t>A guaranteed</w:t>
      </w:r>
      <w:r w:rsidR="0019306A">
        <w:rPr>
          <w:color w:val="000000"/>
        </w:rPr>
        <w:t xml:space="preserve"> minimum rate of retur</w:t>
      </w:r>
      <w:r>
        <w:rPr>
          <w:color w:val="000000"/>
        </w:rPr>
        <w:t>n</w:t>
      </w:r>
    </w:p>
    <w:p w:rsidR="006E5FC0" w:rsidRDefault="003A49DE" w:rsidP="003A49DE">
      <w:pPr>
        <w:pStyle w:val="ListParagraph"/>
        <w:numPr>
          <w:ilvl w:val="3"/>
          <w:numId w:val="9"/>
        </w:numPr>
        <w:shd w:val="clear" w:color="auto" w:fill="FFFFFF"/>
        <w:rPr>
          <w:color w:val="000000"/>
        </w:rPr>
      </w:pPr>
      <w:r>
        <w:rPr>
          <w:color w:val="000000"/>
        </w:rPr>
        <w:t>Gua</w:t>
      </w:r>
      <w:r w:rsidR="0019306A">
        <w:rPr>
          <w:color w:val="000000"/>
        </w:rPr>
        <w:t>ra</w:t>
      </w:r>
      <w:r>
        <w:rPr>
          <w:color w:val="000000"/>
        </w:rPr>
        <w:t>nteed annuity factors</w:t>
      </w:r>
      <w:r w:rsidR="006E5FC0">
        <w:rPr>
          <w:color w:val="000000"/>
        </w:rPr>
        <w:t xml:space="preserve"> </w:t>
      </w:r>
    </w:p>
    <w:p w:rsidR="007576CF" w:rsidRDefault="0019306A" w:rsidP="0019306A">
      <w:pPr>
        <w:pStyle w:val="ListParagraph"/>
        <w:numPr>
          <w:ilvl w:val="4"/>
          <w:numId w:val="9"/>
        </w:numPr>
        <w:shd w:val="clear" w:color="auto" w:fill="FFFFFF"/>
        <w:rPr>
          <w:color w:val="000000"/>
        </w:rPr>
      </w:pPr>
      <w:r>
        <w:rPr>
          <w:color w:val="000000"/>
        </w:rPr>
        <w:t>A variable deferred annuity does not offer the first two guarantees to the living policy owner</w:t>
      </w:r>
    </w:p>
    <w:p w:rsidR="006D4FA6" w:rsidRPr="006D4FA6" w:rsidRDefault="006D4FA6" w:rsidP="006D4FA6">
      <w:pPr>
        <w:shd w:val="clear" w:color="auto" w:fill="FFFFFF"/>
        <w:ind w:left="3240"/>
        <w:rPr>
          <w:color w:val="000000"/>
        </w:rPr>
      </w:pPr>
    </w:p>
    <w:p w:rsidR="0019306A" w:rsidRDefault="0019306A" w:rsidP="007576CF">
      <w:pPr>
        <w:pStyle w:val="ListParagraph"/>
        <w:numPr>
          <w:ilvl w:val="1"/>
          <w:numId w:val="9"/>
        </w:numPr>
        <w:shd w:val="clear" w:color="auto" w:fill="FFFFFF"/>
        <w:rPr>
          <w:color w:val="000000"/>
        </w:rPr>
      </w:pPr>
      <w:r>
        <w:rPr>
          <w:color w:val="000000"/>
        </w:rPr>
        <w:t>Using the guaranteed income of an immediate annuity to help reduce retirement portfolio failure</w:t>
      </w:r>
      <w:r w:rsidR="006876B6">
        <w:rPr>
          <w:color w:val="000000"/>
        </w:rPr>
        <w:t xml:space="preserve"> (investing a portion of a retirement plan balance)</w:t>
      </w:r>
      <w:r>
        <w:rPr>
          <w:color w:val="000000"/>
        </w:rPr>
        <w:t xml:space="preserve"> </w:t>
      </w:r>
    </w:p>
    <w:p w:rsidR="002218ED" w:rsidRPr="002218ED" w:rsidRDefault="002218ED" w:rsidP="002218ED">
      <w:pPr>
        <w:shd w:val="clear" w:color="auto" w:fill="FFFFFF"/>
        <w:ind w:left="1080"/>
        <w:rPr>
          <w:color w:val="000000"/>
        </w:rPr>
      </w:pPr>
    </w:p>
    <w:p w:rsidR="006876B6" w:rsidRDefault="006876B6" w:rsidP="006876B6">
      <w:pPr>
        <w:pStyle w:val="ListParagraph"/>
        <w:numPr>
          <w:ilvl w:val="1"/>
          <w:numId w:val="9"/>
        </w:numPr>
        <w:shd w:val="clear" w:color="auto" w:fill="FFFFFF"/>
        <w:rPr>
          <w:color w:val="000000"/>
        </w:rPr>
      </w:pPr>
      <w:r w:rsidRPr="00443B68">
        <w:rPr>
          <w:color w:val="000000"/>
        </w:rPr>
        <w:t>Using annuities beyond the grave: tax deferral planning</w:t>
      </w:r>
    </w:p>
    <w:p w:rsidR="006876B6" w:rsidRDefault="006876B6" w:rsidP="00A91324">
      <w:pPr>
        <w:pStyle w:val="ListParagraph"/>
        <w:numPr>
          <w:ilvl w:val="2"/>
          <w:numId w:val="9"/>
        </w:numPr>
        <w:shd w:val="clear" w:color="auto" w:fill="FFFFFF"/>
        <w:rPr>
          <w:color w:val="000000"/>
        </w:rPr>
      </w:pPr>
      <w:r>
        <w:rPr>
          <w:color w:val="000000"/>
        </w:rPr>
        <w:t>As discussed, the income tax on annual gains in an annuity is generally deferred until distributed</w:t>
      </w:r>
    </w:p>
    <w:p w:rsidR="006876B6" w:rsidRDefault="006876B6" w:rsidP="00A91324">
      <w:pPr>
        <w:pStyle w:val="ListParagraph"/>
        <w:numPr>
          <w:ilvl w:val="2"/>
          <w:numId w:val="9"/>
        </w:numPr>
        <w:shd w:val="clear" w:color="auto" w:fill="FFFFFF"/>
        <w:rPr>
          <w:color w:val="000000"/>
        </w:rPr>
      </w:pPr>
      <w:r>
        <w:rPr>
          <w:color w:val="000000"/>
        </w:rPr>
        <w:t>Further, if a deferred annuity is structured so to ensure that beneficiaries and receive proceeds in the form of an annuity the benefits of tax deferral could survive the annuity owner</w:t>
      </w:r>
    </w:p>
    <w:p w:rsidR="006876B6" w:rsidRDefault="006876B6" w:rsidP="00A91324">
      <w:pPr>
        <w:pStyle w:val="ListParagraph"/>
        <w:numPr>
          <w:ilvl w:val="3"/>
          <w:numId w:val="9"/>
        </w:numPr>
        <w:shd w:val="clear" w:color="auto" w:fill="FFFFFF"/>
        <w:rPr>
          <w:color w:val="000000"/>
        </w:rPr>
      </w:pPr>
      <w:r>
        <w:rPr>
          <w:color w:val="000000"/>
        </w:rPr>
        <w:t>A “Stretch Annuity” – amortization or annuity or life expectancy factor methods – See IRC Sec 72(b) – the life expectancy factor could offer the most tax deferral</w:t>
      </w:r>
    </w:p>
    <w:p w:rsidR="006372B6" w:rsidRDefault="006876B6" w:rsidP="006876B6">
      <w:pPr>
        <w:pStyle w:val="ListParagraph"/>
        <w:numPr>
          <w:ilvl w:val="3"/>
          <w:numId w:val="9"/>
        </w:numPr>
        <w:shd w:val="clear" w:color="auto" w:fill="FFFFFF"/>
        <w:rPr>
          <w:color w:val="000000"/>
        </w:rPr>
      </w:pPr>
      <w:r>
        <w:rPr>
          <w:color w:val="000000"/>
        </w:rPr>
        <w:t>See IRS Notice 89-25</w:t>
      </w:r>
    </w:p>
    <w:p w:rsidR="00A855B1" w:rsidRDefault="00A855B1" w:rsidP="006372B6">
      <w:pPr>
        <w:pStyle w:val="ListParagraph"/>
        <w:numPr>
          <w:ilvl w:val="2"/>
          <w:numId w:val="9"/>
        </w:numPr>
        <w:shd w:val="clear" w:color="auto" w:fill="FFFFFF"/>
        <w:rPr>
          <w:color w:val="000000"/>
        </w:rPr>
      </w:pPr>
      <w:r>
        <w:rPr>
          <w:color w:val="000000"/>
        </w:rPr>
        <w:t>Family funding: step children and others</w:t>
      </w:r>
    </w:p>
    <w:p w:rsidR="006372B6" w:rsidRDefault="006372B6" w:rsidP="006372B6">
      <w:pPr>
        <w:pStyle w:val="ListParagraph"/>
        <w:numPr>
          <w:ilvl w:val="2"/>
          <w:numId w:val="9"/>
        </w:numPr>
        <w:shd w:val="clear" w:color="auto" w:fill="FFFFFF"/>
        <w:rPr>
          <w:color w:val="000000"/>
        </w:rPr>
      </w:pPr>
      <w:r>
        <w:rPr>
          <w:color w:val="000000"/>
        </w:rPr>
        <w:t>To restrict/plan how beneficiaries will receive annuity funds, a trust as owner could be beneficial</w:t>
      </w:r>
    </w:p>
    <w:p w:rsidR="006876B6" w:rsidRDefault="006876B6" w:rsidP="006372B6">
      <w:pPr>
        <w:pStyle w:val="ListParagraph"/>
        <w:numPr>
          <w:ilvl w:val="3"/>
          <w:numId w:val="9"/>
        </w:numPr>
        <w:shd w:val="clear" w:color="auto" w:fill="FFFFFF"/>
        <w:rPr>
          <w:color w:val="000000"/>
        </w:rPr>
      </w:pPr>
      <w:r>
        <w:rPr>
          <w:color w:val="000000"/>
        </w:rPr>
        <w:t xml:space="preserve"> </w:t>
      </w:r>
      <w:r w:rsidR="006372B6">
        <w:rPr>
          <w:color w:val="000000"/>
        </w:rPr>
        <w:t>The five year rule</w:t>
      </w:r>
    </w:p>
    <w:p w:rsidR="002218ED" w:rsidRPr="002218ED" w:rsidRDefault="002218ED" w:rsidP="002218ED">
      <w:pPr>
        <w:shd w:val="clear" w:color="auto" w:fill="FFFFFF"/>
        <w:ind w:left="2520"/>
        <w:rPr>
          <w:color w:val="000000"/>
        </w:rPr>
      </w:pPr>
    </w:p>
    <w:p w:rsidR="0019306A" w:rsidRDefault="00A855B1" w:rsidP="007576CF">
      <w:pPr>
        <w:pStyle w:val="ListParagraph"/>
        <w:numPr>
          <w:ilvl w:val="1"/>
          <w:numId w:val="9"/>
        </w:numPr>
        <w:shd w:val="clear" w:color="auto" w:fill="FFFFFF"/>
        <w:rPr>
          <w:color w:val="000000"/>
        </w:rPr>
      </w:pPr>
      <w:r>
        <w:rPr>
          <w:color w:val="000000"/>
        </w:rPr>
        <w:t>Business o</w:t>
      </w:r>
      <w:r w:rsidR="00A91324">
        <w:rPr>
          <w:color w:val="000000"/>
        </w:rPr>
        <w:t>wners: Using a SPIA to fund a long term compensation plan</w:t>
      </w:r>
    </w:p>
    <w:p w:rsidR="00A91324" w:rsidRDefault="00A91324" w:rsidP="00293B8B">
      <w:pPr>
        <w:pStyle w:val="ListParagraph"/>
        <w:numPr>
          <w:ilvl w:val="4"/>
          <w:numId w:val="9"/>
        </w:numPr>
        <w:shd w:val="clear" w:color="auto" w:fill="FFFFFF"/>
        <w:rPr>
          <w:color w:val="000000"/>
        </w:rPr>
      </w:pPr>
      <w:r>
        <w:rPr>
          <w:color w:val="000000"/>
        </w:rPr>
        <w:t>For the business owner</w:t>
      </w:r>
    </w:p>
    <w:p w:rsidR="00A91324" w:rsidRDefault="00A91324" w:rsidP="00293B8B">
      <w:pPr>
        <w:pStyle w:val="ListParagraph"/>
        <w:numPr>
          <w:ilvl w:val="4"/>
          <w:numId w:val="9"/>
        </w:numPr>
        <w:shd w:val="clear" w:color="auto" w:fill="FFFFFF"/>
        <w:rPr>
          <w:color w:val="000000"/>
        </w:rPr>
      </w:pPr>
      <w:r>
        <w:rPr>
          <w:color w:val="000000"/>
        </w:rPr>
        <w:t>For key employees</w:t>
      </w:r>
    </w:p>
    <w:p w:rsidR="00A91324" w:rsidRDefault="00A91324" w:rsidP="00293B8B">
      <w:pPr>
        <w:pStyle w:val="ListParagraph"/>
        <w:numPr>
          <w:ilvl w:val="4"/>
          <w:numId w:val="9"/>
        </w:numPr>
        <w:shd w:val="clear" w:color="auto" w:fill="FFFFFF"/>
        <w:rPr>
          <w:color w:val="000000"/>
        </w:rPr>
      </w:pPr>
      <w:r>
        <w:rPr>
          <w:color w:val="000000"/>
        </w:rPr>
        <w:t>Deferred compensation arrangements</w:t>
      </w:r>
    </w:p>
    <w:p w:rsidR="00293B8B" w:rsidRDefault="00293B8B" w:rsidP="00293B8B">
      <w:pPr>
        <w:pStyle w:val="ListParagraph"/>
        <w:numPr>
          <w:ilvl w:val="4"/>
          <w:numId w:val="9"/>
        </w:numPr>
        <w:shd w:val="clear" w:color="auto" w:fill="FFFFFF"/>
        <w:rPr>
          <w:color w:val="000000"/>
        </w:rPr>
      </w:pPr>
      <w:r>
        <w:rPr>
          <w:color w:val="000000"/>
        </w:rPr>
        <w:t>IRC Sec 754 basis step ups, taxable sales, and deferred gain recognition with IRC Sec 72 annuity payments</w:t>
      </w:r>
    </w:p>
    <w:p w:rsidR="00A91324" w:rsidRDefault="00A855B1" w:rsidP="007576CF">
      <w:pPr>
        <w:pStyle w:val="ListParagraph"/>
        <w:numPr>
          <w:ilvl w:val="1"/>
          <w:numId w:val="9"/>
        </w:numPr>
        <w:shd w:val="clear" w:color="auto" w:fill="FFFFFF"/>
        <w:rPr>
          <w:color w:val="000000"/>
        </w:rPr>
      </w:pPr>
      <w:r>
        <w:rPr>
          <w:color w:val="000000"/>
        </w:rPr>
        <w:t>Charitable planning</w:t>
      </w:r>
    </w:p>
    <w:p w:rsidR="00A855B1" w:rsidRDefault="00A855B1" w:rsidP="00A855B1">
      <w:pPr>
        <w:pStyle w:val="ListParagraph"/>
        <w:numPr>
          <w:ilvl w:val="2"/>
          <w:numId w:val="9"/>
        </w:numPr>
        <w:shd w:val="clear" w:color="auto" w:fill="FFFFFF"/>
        <w:rPr>
          <w:color w:val="000000"/>
        </w:rPr>
      </w:pPr>
      <w:r>
        <w:rPr>
          <w:color w:val="000000"/>
        </w:rPr>
        <w:t>SPIA payments to a (fund) bequest</w:t>
      </w:r>
    </w:p>
    <w:p w:rsidR="00A855B1" w:rsidRDefault="00A855B1" w:rsidP="00A855B1">
      <w:pPr>
        <w:pStyle w:val="ListParagraph"/>
        <w:numPr>
          <w:ilvl w:val="2"/>
          <w:numId w:val="9"/>
        </w:numPr>
        <w:shd w:val="clear" w:color="auto" w:fill="FFFFFF"/>
        <w:rPr>
          <w:color w:val="000000"/>
        </w:rPr>
      </w:pPr>
      <w:r>
        <w:rPr>
          <w:color w:val="000000"/>
        </w:rPr>
        <w:t>Variable annuity to fund a CRUT</w:t>
      </w:r>
    </w:p>
    <w:p w:rsidR="00A855B1" w:rsidRDefault="00A855B1" w:rsidP="00A855B1">
      <w:pPr>
        <w:pStyle w:val="ListParagraph"/>
        <w:numPr>
          <w:ilvl w:val="3"/>
          <w:numId w:val="9"/>
        </w:numPr>
        <w:shd w:val="clear" w:color="auto" w:fill="FFFFFF"/>
        <w:rPr>
          <w:color w:val="000000"/>
        </w:rPr>
      </w:pPr>
      <w:r>
        <w:rPr>
          <w:color w:val="000000"/>
        </w:rPr>
        <w:t>Charitable remainder beneficiary and non-charitable annual income beneficiary</w:t>
      </w:r>
    </w:p>
    <w:p w:rsidR="00A855B1" w:rsidRDefault="00A855B1" w:rsidP="00A855B1">
      <w:pPr>
        <w:pStyle w:val="ListParagraph"/>
        <w:numPr>
          <w:ilvl w:val="4"/>
          <w:numId w:val="9"/>
        </w:numPr>
        <w:shd w:val="clear" w:color="auto" w:fill="FFFFFF"/>
        <w:rPr>
          <w:color w:val="000000"/>
        </w:rPr>
      </w:pPr>
      <w:r>
        <w:rPr>
          <w:color w:val="000000"/>
        </w:rPr>
        <w:t>Non-charitable beneficiary receives a unitrust payment each year (a percentage of trust value); lesser of trust net income or the cited percentage; shortfalls are credited to a make-up account</w:t>
      </w:r>
      <w:r w:rsidR="00293B8B">
        <w:rPr>
          <w:color w:val="000000"/>
        </w:rPr>
        <w:t xml:space="preserve"> (NIMCRUT)</w:t>
      </w:r>
    </w:p>
    <w:p w:rsidR="00A855B1" w:rsidRDefault="00A855B1" w:rsidP="00A855B1">
      <w:pPr>
        <w:pStyle w:val="ListParagraph"/>
        <w:numPr>
          <w:ilvl w:val="4"/>
          <w:numId w:val="9"/>
        </w:numPr>
        <w:shd w:val="clear" w:color="auto" w:fill="FFFFFF"/>
        <w:rPr>
          <w:color w:val="000000"/>
        </w:rPr>
      </w:pPr>
      <w:r>
        <w:rPr>
          <w:color w:val="000000"/>
        </w:rPr>
        <w:t>Independent trustee elects to make payments, or not</w:t>
      </w:r>
      <w:r w:rsidR="00AC001D">
        <w:rPr>
          <w:color w:val="000000"/>
        </w:rPr>
        <w:t>; thus impacting trust income and deductions (note the difference between trust accounting income and taxable income)</w:t>
      </w:r>
    </w:p>
    <w:p w:rsidR="00293B8B" w:rsidRDefault="00293B8B" w:rsidP="00A855B1">
      <w:pPr>
        <w:pStyle w:val="ListParagraph"/>
        <w:numPr>
          <w:ilvl w:val="4"/>
          <w:numId w:val="9"/>
        </w:numPr>
        <w:shd w:val="clear" w:color="auto" w:fill="FFFFFF"/>
        <w:rPr>
          <w:color w:val="000000"/>
        </w:rPr>
      </w:pPr>
      <w:r>
        <w:rPr>
          <w:color w:val="000000"/>
        </w:rPr>
        <w:lastRenderedPageBreak/>
        <w:t>A NIMCRUT  instrument can be drafted so as to define distributable income as any distribution</w:t>
      </w:r>
      <w:r w:rsidR="004366CD">
        <w:rPr>
          <w:color w:val="000000"/>
        </w:rPr>
        <w:t xml:space="preserve"> from the annuity</w:t>
      </w:r>
      <w:r>
        <w:rPr>
          <w:color w:val="000000"/>
        </w:rPr>
        <w:t xml:space="preserve"> provided state law permits such language. And note -  </w:t>
      </w:r>
    </w:p>
    <w:p w:rsidR="00AC001D" w:rsidRPr="00443B68" w:rsidRDefault="00AC001D" w:rsidP="00A855B1">
      <w:pPr>
        <w:pStyle w:val="ListParagraph"/>
        <w:numPr>
          <w:ilvl w:val="4"/>
          <w:numId w:val="9"/>
        </w:numPr>
        <w:shd w:val="clear" w:color="auto" w:fill="FFFFFF"/>
        <w:rPr>
          <w:color w:val="000000"/>
        </w:rPr>
      </w:pPr>
      <w:r>
        <w:rPr>
          <w:color w:val="000000"/>
        </w:rPr>
        <w:t>State Principal and income Acts</w:t>
      </w:r>
    </w:p>
    <w:p w:rsidR="0019306A" w:rsidRDefault="0019306A" w:rsidP="002218ED">
      <w:pPr>
        <w:shd w:val="clear" w:color="auto" w:fill="FFFFFF"/>
        <w:rPr>
          <w:color w:val="000000"/>
        </w:rPr>
      </w:pPr>
    </w:p>
    <w:p w:rsidR="00CA2346" w:rsidRPr="002218ED" w:rsidRDefault="00CA2346" w:rsidP="002218ED">
      <w:pPr>
        <w:shd w:val="clear" w:color="auto" w:fill="FFFFFF"/>
        <w:rPr>
          <w:color w:val="000000"/>
        </w:rPr>
      </w:pPr>
    </w:p>
    <w:p w:rsidR="003B6E04" w:rsidRDefault="003B6E04" w:rsidP="00A855B1">
      <w:pPr>
        <w:pStyle w:val="ListParagraph"/>
        <w:numPr>
          <w:ilvl w:val="1"/>
          <w:numId w:val="9"/>
        </w:numPr>
        <w:shd w:val="clear" w:color="auto" w:fill="FFFFFF"/>
        <w:rPr>
          <w:color w:val="000000"/>
        </w:rPr>
      </w:pPr>
      <w:r w:rsidRPr="00443B68">
        <w:rPr>
          <w:color w:val="000000"/>
        </w:rPr>
        <w:t>Deferred annuities and QTIPs</w:t>
      </w:r>
    </w:p>
    <w:p w:rsidR="00CA2346" w:rsidRDefault="00CA2346" w:rsidP="00CA2346">
      <w:pPr>
        <w:pStyle w:val="ListParagraph"/>
        <w:numPr>
          <w:ilvl w:val="2"/>
          <w:numId w:val="9"/>
        </w:numPr>
        <w:shd w:val="clear" w:color="auto" w:fill="FFFFFF"/>
        <w:rPr>
          <w:color w:val="000000"/>
        </w:rPr>
      </w:pPr>
      <w:r>
        <w:rPr>
          <w:color w:val="000000"/>
        </w:rPr>
        <w:t>Estate of Kite v. Commissioner, T.C.M. 2013-43</w:t>
      </w:r>
    </w:p>
    <w:p w:rsidR="00CA2346" w:rsidRDefault="00CA2346" w:rsidP="00CA2346">
      <w:pPr>
        <w:pStyle w:val="NormalWeb"/>
        <w:numPr>
          <w:ilvl w:val="2"/>
          <w:numId w:val="9"/>
        </w:numPr>
        <w:rPr>
          <w:lang w:val="en"/>
        </w:rPr>
      </w:pPr>
      <w:r>
        <w:rPr>
          <w:lang w:val="en"/>
        </w:rPr>
        <w:t>Separately, i</w:t>
      </w:r>
      <w:r>
        <w:rPr>
          <w:lang w:val="en"/>
        </w:rPr>
        <w:t>n some estate planning situations involving trusts, the use of an annuity may be pro</w:t>
      </w:r>
      <w:r>
        <w:rPr>
          <w:lang w:val="en"/>
        </w:rPr>
        <w:t xml:space="preserve">blematic. </w:t>
      </w:r>
    </w:p>
    <w:p w:rsidR="007C7DDE" w:rsidRDefault="00CA2346" w:rsidP="00CA2346">
      <w:pPr>
        <w:pStyle w:val="marked"/>
        <w:numPr>
          <w:ilvl w:val="2"/>
          <w:numId w:val="9"/>
        </w:numPr>
        <w:rPr>
          <w:lang w:val="en"/>
        </w:rPr>
      </w:pPr>
      <w:r w:rsidRPr="007C7DDE">
        <w:rPr>
          <w:lang w:val="en"/>
        </w:rPr>
        <w:t xml:space="preserve">Annuities may not be appropriate investments for </w:t>
      </w:r>
      <w:hyperlink r:id="rId38" w:history="1">
        <w:r w:rsidRPr="007C7DDE">
          <w:rPr>
            <w:rStyle w:val="Strong"/>
            <w:b w:val="0"/>
            <w:lang w:val="en"/>
          </w:rPr>
          <w:t>QTIP trusts</w:t>
        </w:r>
      </w:hyperlink>
      <w:r w:rsidRPr="007C7DDE">
        <w:rPr>
          <w:lang w:val="en"/>
        </w:rPr>
        <w:t xml:space="preserve"> for a reason associated with state law definitions of income. </w:t>
      </w:r>
    </w:p>
    <w:p w:rsidR="007C7DDE" w:rsidRDefault="00CA2346" w:rsidP="007C7DDE">
      <w:pPr>
        <w:pStyle w:val="marked"/>
        <w:numPr>
          <w:ilvl w:val="3"/>
          <w:numId w:val="9"/>
        </w:numPr>
        <w:rPr>
          <w:lang w:val="en"/>
        </w:rPr>
      </w:pPr>
      <w:r w:rsidRPr="007C7DDE">
        <w:rPr>
          <w:lang w:val="en"/>
        </w:rPr>
        <w:t xml:space="preserve">In most states, the undistributed gains inside of an annuity are not defined as income, and therefore may not have to be distributed to the income beneficiary. Income would only be recognized to the extent the trustee made withdrawals of gains from the annuity. </w:t>
      </w:r>
    </w:p>
    <w:p w:rsidR="007C7DDE" w:rsidRDefault="00CA2346" w:rsidP="007C7DDE">
      <w:pPr>
        <w:pStyle w:val="marked"/>
        <w:numPr>
          <w:ilvl w:val="3"/>
          <w:numId w:val="9"/>
        </w:numPr>
        <w:rPr>
          <w:lang w:val="en"/>
        </w:rPr>
      </w:pPr>
      <w:r w:rsidRPr="007C7DDE">
        <w:rPr>
          <w:lang w:val="en"/>
        </w:rPr>
        <w:t>If the trustee made no withdrawals, then there may be significantly less trust income to distribute to the surviving spouse. The trustee could be placed in an unenviable position between the surviving spouse who may want to maximize income and the children who want to maximize p</w:t>
      </w:r>
      <w:r w:rsidR="007C7DDE">
        <w:rPr>
          <w:lang w:val="en"/>
        </w:rPr>
        <w:t>rincipal for later distribution</w:t>
      </w:r>
      <w:r w:rsidRPr="007C7DDE">
        <w:rPr>
          <w:lang w:val="en"/>
        </w:rPr>
        <w:t xml:space="preserve"> </w:t>
      </w:r>
    </w:p>
    <w:p w:rsidR="00CA2346" w:rsidRPr="007C7DDE" w:rsidRDefault="00CA2346" w:rsidP="007C7DDE">
      <w:pPr>
        <w:pStyle w:val="marked"/>
        <w:numPr>
          <w:ilvl w:val="3"/>
          <w:numId w:val="9"/>
        </w:numPr>
        <w:rPr>
          <w:lang w:val="en"/>
        </w:rPr>
      </w:pPr>
      <w:r w:rsidRPr="007C7DDE">
        <w:rPr>
          <w:lang w:val="en"/>
        </w:rPr>
        <w:t>Unless the trustee and all beneficiaries agree on specific parameters for any annuity withdrawals, a</w:t>
      </w:r>
      <w:r w:rsidR="007C7DDE">
        <w:rPr>
          <w:lang w:val="en"/>
        </w:rPr>
        <w:t>n annuity may present problems</w:t>
      </w:r>
    </w:p>
    <w:p w:rsidR="007C7DDE" w:rsidRDefault="00CA2346" w:rsidP="00CA2346">
      <w:pPr>
        <w:pStyle w:val="NormalWeb"/>
        <w:numPr>
          <w:ilvl w:val="2"/>
          <w:numId w:val="9"/>
        </w:numPr>
        <w:rPr>
          <w:lang w:val="en"/>
        </w:rPr>
      </w:pPr>
      <w:r>
        <w:rPr>
          <w:lang w:val="en"/>
        </w:rPr>
        <w:t>Some</w:t>
      </w:r>
      <w:r w:rsidR="007C7DDE">
        <w:rPr>
          <w:lang w:val="en"/>
        </w:rPr>
        <w:t xml:space="preserve"> of the above </w:t>
      </w:r>
      <w:r>
        <w:rPr>
          <w:lang w:val="en"/>
        </w:rPr>
        <w:t>can be mitigated by a clear drafting of the QTIP trust before the first death (i.e., to clearly state what constitutes income and whether/how income with respect to the annuity will be classified fo</w:t>
      </w:r>
      <w:r w:rsidR="007C7DDE">
        <w:rPr>
          <w:lang w:val="en"/>
        </w:rPr>
        <w:t>r income distribution purposes)</w:t>
      </w:r>
      <w:r>
        <w:rPr>
          <w:lang w:val="en"/>
        </w:rPr>
        <w:t xml:space="preserve"> </w:t>
      </w:r>
    </w:p>
    <w:p w:rsidR="007C7DDE" w:rsidRDefault="00CA2346" w:rsidP="007C7DDE">
      <w:pPr>
        <w:pStyle w:val="NormalWeb"/>
        <w:numPr>
          <w:ilvl w:val="3"/>
          <w:numId w:val="9"/>
        </w:numPr>
        <w:rPr>
          <w:lang w:val="en"/>
        </w:rPr>
      </w:pPr>
      <w:r>
        <w:rPr>
          <w:lang w:val="en"/>
        </w:rPr>
        <w:t>In some cases, the treatment of an annuity may be preferable to alternatives, if the specific goal is actually to minimize income distri</w:t>
      </w:r>
      <w:r w:rsidR="007C7DDE">
        <w:rPr>
          <w:lang w:val="en"/>
        </w:rPr>
        <w:t>butions to the surviving spouse</w:t>
      </w:r>
      <w:r>
        <w:rPr>
          <w:lang w:val="en"/>
        </w:rPr>
        <w:t xml:space="preserve"> </w:t>
      </w:r>
    </w:p>
    <w:p w:rsidR="007C7DDE" w:rsidRDefault="00CA2346" w:rsidP="007C7DDE">
      <w:pPr>
        <w:pStyle w:val="NormalWeb"/>
        <w:numPr>
          <w:ilvl w:val="3"/>
          <w:numId w:val="9"/>
        </w:numPr>
        <w:rPr>
          <w:lang w:val="en"/>
        </w:rPr>
      </w:pPr>
      <w:r>
        <w:rPr>
          <w:lang w:val="en"/>
        </w:rPr>
        <w:t xml:space="preserve">On the other hand, if the spouse is not happy with such an arrangement, the spouse could potentially have the annuity liquidated, under the required right of a spouse under a QTIP trust, </w:t>
      </w:r>
      <w:r w:rsidR="00AE7EF7">
        <w:rPr>
          <w:lang w:val="en"/>
        </w:rPr>
        <w:t>compelling</w:t>
      </w:r>
      <w:r>
        <w:rPr>
          <w:lang w:val="en"/>
        </w:rPr>
        <w:t xml:space="preserve"> the trustee to convert QTIP asset</w:t>
      </w:r>
      <w:r w:rsidR="007C7DDE">
        <w:rPr>
          <w:lang w:val="en"/>
        </w:rPr>
        <w:t>s to income-producing property</w:t>
      </w:r>
    </w:p>
    <w:p w:rsidR="007C7DDE" w:rsidRDefault="00CA2346" w:rsidP="007C7DDE">
      <w:pPr>
        <w:pStyle w:val="NormalWeb"/>
        <w:numPr>
          <w:ilvl w:val="3"/>
          <w:numId w:val="9"/>
        </w:numPr>
        <w:rPr>
          <w:lang w:val="en"/>
        </w:rPr>
      </w:pPr>
      <w:r>
        <w:rPr>
          <w:lang w:val="en"/>
        </w:rPr>
        <w:t>If such a conversion occurs after many years, the trust could be compelled to recognize significant accrued</w:t>
      </w:r>
      <w:r w:rsidR="007C7DDE">
        <w:rPr>
          <w:lang w:val="en"/>
        </w:rPr>
        <w:t xml:space="preserve"> taxable gains in a single year</w:t>
      </w:r>
      <w:r>
        <w:rPr>
          <w:lang w:val="en"/>
        </w:rPr>
        <w:t xml:space="preserve"> </w:t>
      </w:r>
    </w:p>
    <w:p w:rsidR="002218ED" w:rsidRPr="007C7DDE" w:rsidRDefault="00CA2346" w:rsidP="007C7DDE">
      <w:pPr>
        <w:pStyle w:val="NormalWeb"/>
        <w:numPr>
          <w:ilvl w:val="3"/>
          <w:numId w:val="9"/>
        </w:numPr>
        <w:rPr>
          <w:lang w:val="en"/>
        </w:rPr>
      </w:pPr>
      <w:r>
        <w:rPr>
          <w:lang w:val="en"/>
        </w:rPr>
        <w:t>Accordingly, it may ultimately be wise to avoid the use of deferred annuities inside of a QTIP trust, unless the spouse income beneficiary is clearly supportive of the arrangement, and unlikely to have his/her mind changed</w:t>
      </w:r>
    </w:p>
    <w:p w:rsidR="002218ED" w:rsidRDefault="002218ED" w:rsidP="002218ED">
      <w:pPr>
        <w:shd w:val="clear" w:color="auto" w:fill="FFFFFF"/>
        <w:rPr>
          <w:color w:val="000000"/>
        </w:rPr>
      </w:pPr>
    </w:p>
    <w:p w:rsidR="002842FD" w:rsidRDefault="002842FD" w:rsidP="002218ED">
      <w:pPr>
        <w:shd w:val="clear" w:color="auto" w:fill="FFFFFF"/>
        <w:rPr>
          <w:color w:val="000000"/>
        </w:rPr>
      </w:pPr>
    </w:p>
    <w:p w:rsidR="009F0BDA" w:rsidRPr="007C7DDE" w:rsidRDefault="007C7DDE" w:rsidP="007C7DDE">
      <w:pPr>
        <w:shd w:val="clear" w:color="auto" w:fill="FFFFFF"/>
        <w:rPr>
          <w:b/>
          <w:color w:val="1F497D" w:themeColor="dark2"/>
        </w:rPr>
      </w:pPr>
      <w:bookmarkStart w:id="0" w:name="_GoBack"/>
      <w:bookmarkEnd w:id="0"/>
      <w:r w:rsidRPr="007C7DDE">
        <w:rPr>
          <w:b/>
          <w:color w:val="000000"/>
        </w:rPr>
        <w:lastRenderedPageBreak/>
        <w:t>Examples</w:t>
      </w:r>
      <w:r w:rsidR="002842FD">
        <w:rPr>
          <w:b/>
          <w:color w:val="000000"/>
        </w:rPr>
        <w:t xml:space="preserve"> and</w:t>
      </w:r>
      <w:r w:rsidRPr="007C7DDE">
        <w:rPr>
          <w:b/>
          <w:color w:val="000000"/>
        </w:rPr>
        <w:t xml:space="preserve"> </w:t>
      </w:r>
      <w:r w:rsidR="009F0BDA" w:rsidRPr="007C7DDE">
        <w:rPr>
          <w:b/>
          <w:color w:val="000000"/>
        </w:rPr>
        <w:t>client stories on annuities</w:t>
      </w:r>
    </w:p>
    <w:p w:rsidR="007C7DDE" w:rsidRPr="007C7DDE" w:rsidRDefault="007C7DDE" w:rsidP="007C7DDE">
      <w:pPr>
        <w:shd w:val="clear" w:color="auto" w:fill="FFFFFF"/>
        <w:rPr>
          <w:b/>
          <w:color w:val="1F497D" w:themeColor="dark2"/>
        </w:rPr>
      </w:pPr>
    </w:p>
    <w:p w:rsidR="007C7DDE" w:rsidRPr="002842FD" w:rsidRDefault="007C7DDE" w:rsidP="007C7DDE">
      <w:pPr>
        <w:pStyle w:val="ListParagraph"/>
        <w:numPr>
          <w:ilvl w:val="0"/>
          <w:numId w:val="13"/>
        </w:numPr>
        <w:shd w:val="clear" w:color="auto" w:fill="FFFFFF"/>
      </w:pPr>
      <w:r w:rsidRPr="002842FD">
        <w:t>First, current IRS rates</w:t>
      </w:r>
      <w:r w:rsidR="002842FD" w:rsidRPr="002842FD">
        <w:t xml:space="preserve"> (May 2015)</w:t>
      </w:r>
    </w:p>
    <w:p w:rsidR="002842FD" w:rsidRPr="002842FD" w:rsidRDefault="002842FD" w:rsidP="007C7DDE">
      <w:pPr>
        <w:pStyle w:val="ListParagraph"/>
        <w:numPr>
          <w:ilvl w:val="1"/>
          <w:numId w:val="24"/>
        </w:numPr>
        <w:shd w:val="clear" w:color="auto" w:fill="FFFFFF"/>
      </w:pPr>
      <w:r w:rsidRPr="002842FD">
        <w:t xml:space="preserve">Sec. 7872 </w:t>
      </w:r>
    </w:p>
    <w:p w:rsidR="007C7DDE" w:rsidRPr="002842FD" w:rsidRDefault="007C7DDE" w:rsidP="002842FD">
      <w:pPr>
        <w:pStyle w:val="ListParagraph"/>
        <w:numPr>
          <w:ilvl w:val="2"/>
          <w:numId w:val="24"/>
        </w:numPr>
        <w:shd w:val="clear" w:color="auto" w:fill="FFFFFF"/>
      </w:pPr>
      <w:r w:rsidRPr="002842FD">
        <w:t>AFR ST - .43%</w:t>
      </w:r>
    </w:p>
    <w:p w:rsidR="007C7DDE" w:rsidRPr="002842FD" w:rsidRDefault="007C7DDE" w:rsidP="002842FD">
      <w:pPr>
        <w:pStyle w:val="ListParagraph"/>
        <w:numPr>
          <w:ilvl w:val="2"/>
          <w:numId w:val="24"/>
        </w:numPr>
        <w:shd w:val="clear" w:color="auto" w:fill="FFFFFF"/>
      </w:pPr>
      <w:r w:rsidRPr="002842FD">
        <w:t>AFT MT – 1.53% and 1.52%</w:t>
      </w:r>
    </w:p>
    <w:p w:rsidR="007C7DDE" w:rsidRPr="002842FD" w:rsidRDefault="007C7DDE" w:rsidP="002842FD">
      <w:pPr>
        <w:pStyle w:val="ListParagraph"/>
        <w:numPr>
          <w:ilvl w:val="2"/>
          <w:numId w:val="24"/>
        </w:numPr>
        <w:shd w:val="clear" w:color="auto" w:fill="FFFFFF"/>
      </w:pPr>
      <w:r w:rsidRPr="002842FD">
        <w:t>AFT LT – 2.3% and 2.28 and 2.29%%</w:t>
      </w:r>
    </w:p>
    <w:p w:rsidR="007C7DDE" w:rsidRPr="002842FD" w:rsidRDefault="007C7DDE" w:rsidP="007C7DDE">
      <w:pPr>
        <w:pStyle w:val="ListParagraph"/>
        <w:numPr>
          <w:ilvl w:val="1"/>
          <w:numId w:val="24"/>
        </w:numPr>
        <w:shd w:val="clear" w:color="auto" w:fill="FFFFFF"/>
      </w:pPr>
      <w:r w:rsidRPr="002842FD">
        <w:t>Sec 7520  - 1.8%</w:t>
      </w:r>
    </w:p>
    <w:p w:rsidR="002842FD" w:rsidRDefault="002842FD" w:rsidP="002842FD">
      <w:pPr>
        <w:shd w:val="clear" w:color="auto" w:fill="FFFFFF"/>
      </w:pPr>
    </w:p>
    <w:p w:rsidR="002842FD" w:rsidRPr="002842FD" w:rsidRDefault="002842FD" w:rsidP="002842FD">
      <w:pPr>
        <w:pStyle w:val="ListParagraph"/>
        <w:numPr>
          <w:ilvl w:val="0"/>
          <w:numId w:val="24"/>
        </w:numPr>
        <w:shd w:val="clear" w:color="auto" w:fill="FFFFFF"/>
      </w:pPr>
      <w:r w:rsidRPr="002842FD">
        <w:t>US Treasuries (May 14, 2015)</w:t>
      </w:r>
    </w:p>
    <w:p w:rsidR="002842FD" w:rsidRPr="002842FD" w:rsidRDefault="002842FD" w:rsidP="002842FD">
      <w:pPr>
        <w:pStyle w:val="ListParagraph"/>
        <w:numPr>
          <w:ilvl w:val="1"/>
          <w:numId w:val="24"/>
        </w:numPr>
        <w:shd w:val="clear" w:color="auto" w:fill="FFFFFF"/>
      </w:pPr>
      <w:r w:rsidRPr="002842FD">
        <w:t>10 year – 2.27%</w:t>
      </w:r>
    </w:p>
    <w:p w:rsidR="002842FD" w:rsidRPr="002842FD" w:rsidRDefault="002842FD" w:rsidP="002842FD">
      <w:pPr>
        <w:pStyle w:val="ListParagraph"/>
        <w:numPr>
          <w:ilvl w:val="1"/>
          <w:numId w:val="24"/>
        </w:numPr>
        <w:shd w:val="clear" w:color="auto" w:fill="FFFFFF"/>
      </w:pPr>
      <w:r w:rsidRPr="002842FD">
        <w:t>5 year – 1.54%</w:t>
      </w:r>
    </w:p>
    <w:p w:rsidR="002842FD" w:rsidRDefault="002842FD" w:rsidP="002842FD">
      <w:pPr>
        <w:pStyle w:val="ListParagraph"/>
        <w:numPr>
          <w:ilvl w:val="1"/>
          <w:numId w:val="24"/>
        </w:numPr>
        <w:shd w:val="clear" w:color="auto" w:fill="FFFFFF"/>
      </w:pPr>
      <w:r w:rsidRPr="002842FD">
        <w:t>1 year - .24%</w:t>
      </w:r>
    </w:p>
    <w:p w:rsidR="002842FD" w:rsidRPr="002842FD" w:rsidRDefault="002842FD" w:rsidP="002842FD">
      <w:pPr>
        <w:pStyle w:val="ListParagraph"/>
        <w:numPr>
          <w:ilvl w:val="1"/>
          <w:numId w:val="24"/>
        </w:numPr>
        <w:shd w:val="clear" w:color="auto" w:fill="FFFFFF"/>
      </w:pPr>
    </w:p>
    <w:p w:rsidR="002842FD" w:rsidRPr="002842FD" w:rsidRDefault="002842FD" w:rsidP="002842FD">
      <w:pPr>
        <w:pStyle w:val="ListParagraph"/>
        <w:numPr>
          <w:ilvl w:val="0"/>
          <w:numId w:val="24"/>
        </w:numPr>
        <w:shd w:val="clear" w:color="auto" w:fill="FFFFFF"/>
        <w:rPr>
          <w:color w:val="1F497D" w:themeColor="dark2"/>
        </w:rPr>
      </w:pPr>
      <w:r w:rsidRPr="002842FD">
        <w:rPr>
          <w:color w:val="000000"/>
        </w:rPr>
        <w:t>Examples and client stories on annuities</w:t>
      </w:r>
    </w:p>
    <w:p w:rsidR="007C7DDE" w:rsidRPr="002842FD" w:rsidRDefault="007C7DDE" w:rsidP="002842FD">
      <w:pPr>
        <w:shd w:val="clear" w:color="auto" w:fill="FFFFFF"/>
      </w:pPr>
    </w:p>
    <w:p w:rsidR="00A266DD" w:rsidRPr="002842FD" w:rsidRDefault="00A266DD" w:rsidP="00A266DD">
      <w:pPr>
        <w:pStyle w:val="ListParagraph"/>
        <w:numPr>
          <w:ilvl w:val="1"/>
          <w:numId w:val="13"/>
        </w:numPr>
        <w:shd w:val="clear" w:color="auto" w:fill="FFFFFF"/>
      </w:pPr>
      <w:r w:rsidRPr="002842FD">
        <w:t>Second to die life insurance policy as a deferred compensation plan (a defined benefit plan (a 403(b) proxy))</w:t>
      </w:r>
    </w:p>
    <w:p w:rsidR="00B862D1" w:rsidRPr="002842FD" w:rsidRDefault="00B862D1" w:rsidP="00A266DD">
      <w:pPr>
        <w:pStyle w:val="ListParagraph"/>
        <w:numPr>
          <w:ilvl w:val="1"/>
          <w:numId w:val="13"/>
        </w:numPr>
        <w:shd w:val="clear" w:color="auto" w:fill="FFFFFF"/>
      </w:pPr>
      <w:r w:rsidRPr="002842FD">
        <w:t>Sales of low basis property via a Sec 72 annuity to non-grantor trusts</w:t>
      </w:r>
    </w:p>
    <w:p w:rsidR="00B862D1" w:rsidRPr="002842FD" w:rsidRDefault="002842FD" w:rsidP="00B862D1">
      <w:pPr>
        <w:pStyle w:val="ListParagraph"/>
        <w:numPr>
          <w:ilvl w:val="1"/>
          <w:numId w:val="13"/>
        </w:numPr>
      </w:pPr>
      <w:r>
        <w:t xml:space="preserve">Transfers to </w:t>
      </w:r>
      <w:r w:rsidR="00B862D1" w:rsidRPr="002842FD">
        <w:t>GRATS</w:t>
      </w:r>
    </w:p>
    <w:sectPr w:rsidR="00B862D1" w:rsidRPr="002842FD" w:rsidSect="00D16FBF">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536" w:rsidRDefault="006B2536" w:rsidP="00443B68">
      <w:r>
        <w:separator/>
      </w:r>
    </w:p>
  </w:endnote>
  <w:endnote w:type="continuationSeparator" w:id="0">
    <w:p w:rsidR="006B2536" w:rsidRDefault="006B2536" w:rsidP="0044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536" w:rsidRDefault="006B2536" w:rsidP="00443B68">
      <w:r>
        <w:separator/>
      </w:r>
    </w:p>
  </w:footnote>
  <w:footnote w:type="continuationSeparator" w:id="0">
    <w:p w:rsidR="006B2536" w:rsidRDefault="006B2536" w:rsidP="00443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134682"/>
      <w:docPartObj>
        <w:docPartGallery w:val="Page Numbers (Top of Page)"/>
        <w:docPartUnique/>
      </w:docPartObj>
    </w:sdtPr>
    <w:sdtEndPr>
      <w:rPr>
        <w:noProof/>
      </w:rPr>
    </w:sdtEndPr>
    <w:sdtContent>
      <w:p w:rsidR="00443B68" w:rsidRDefault="00D16FBF">
        <w:pPr>
          <w:pStyle w:val="Header"/>
          <w:jc w:val="center"/>
        </w:pPr>
        <w:r>
          <w:fldChar w:fldCharType="begin"/>
        </w:r>
        <w:r w:rsidR="00443B68">
          <w:instrText xml:space="preserve"> PAGE   \* MERGEFORMAT </w:instrText>
        </w:r>
        <w:r>
          <w:fldChar w:fldCharType="separate"/>
        </w:r>
        <w:r w:rsidR="002C227B">
          <w:rPr>
            <w:noProof/>
          </w:rPr>
          <w:t>12</w:t>
        </w:r>
        <w:r>
          <w:rPr>
            <w:noProof/>
          </w:rPr>
          <w:fldChar w:fldCharType="end"/>
        </w:r>
      </w:p>
    </w:sdtContent>
  </w:sdt>
  <w:p w:rsidR="00443B68" w:rsidRDefault="00443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B53"/>
    <w:multiLevelType w:val="hybridMultilevel"/>
    <w:tmpl w:val="6EFAD61C"/>
    <w:lvl w:ilvl="0" w:tplc="8738FC62">
      <w:numFmt w:val="bullet"/>
      <w:lvlText w:val=""/>
      <w:lvlJc w:val="left"/>
      <w:pPr>
        <w:ind w:left="420" w:hanging="420"/>
      </w:pPr>
      <w:rPr>
        <w:rFonts w:ascii="Symbol" w:eastAsiaTheme="minorHAnsi" w:hAnsi="Symbo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E57962"/>
    <w:multiLevelType w:val="hybridMultilevel"/>
    <w:tmpl w:val="637E675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532C74"/>
    <w:multiLevelType w:val="hybridMultilevel"/>
    <w:tmpl w:val="22DEE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7F4C2A"/>
    <w:multiLevelType w:val="hybridMultilevel"/>
    <w:tmpl w:val="4C942C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905C20"/>
    <w:multiLevelType w:val="hybridMultilevel"/>
    <w:tmpl w:val="254C1CB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36185"/>
    <w:multiLevelType w:val="multilevel"/>
    <w:tmpl w:val="0634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B51CE"/>
    <w:multiLevelType w:val="hybridMultilevel"/>
    <w:tmpl w:val="737E23E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C6753A"/>
    <w:multiLevelType w:val="hybridMultilevel"/>
    <w:tmpl w:val="2B0CB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771D32"/>
    <w:multiLevelType w:val="hybridMultilevel"/>
    <w:tmpl w:val="76983A60"/>
    <w:lvl w:ilvl="0" w:tplc="8738FC62">
      <w:numFmt w:val="bullet"/>
      <w:lvlText w:val=""/>
      <w:lvlJc w:val="left"/>
      <w:pPr>
        <w:ind w:left="60" w:hanging="420"/>
      </w:pPr>
      <w:rPr>
        <w:rFonts w:ascii="Symbol" w:eastAsiaTheme="minorHAnsi"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D170A3"/>
    <w:multiLevelType w:val="hybridMultilevel"/>
    <w:tmpl w:val="DF16CA9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4EAD7CF3"/>
    <w:multiLevelType w:val="multilevel"/>
    <w:tmpl w:val="17E05BD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D34489"/>
    <w:multiLevelType w:val="hybridMultilevel"/>
    <w:tmpl w:val="05C239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A9244E"/>
    <w:multiLevelType w:val="hybridMultilevel"/>
    <w:tmpl w:val="0046B3AA"/>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5870793F"/>
    <w:multiLevelType w:val="hybridMultilevel"/>
    <w:tmpl w:val="51ACB336"/>
    <w:lvl w:ilvl="0" w:tplc="8738FC62">
      <w:numFmt w:val="bullet"/>
      <w:lvlText w:val=""/>
      <w:lvlJc w:val="left"/>
      <w:pPr>
        <w:ind w:left="60" w:hanging="420"/>
      </w:pPr>
      <w:rPr>
        <w:rFonts w:ascii="Symbol" w:eastAsiaTheme="minorHAnsi" w:hAnsi="Symbol" w:cs="Arial" w:hint="default"/>
        <w:sz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5F9D4E18"/>
    <w:multiLevelType w:val="multilevel"/>
    <w:tmpl w:val="46B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FE1F6B"/>
    <w:multiLevelType w:val="hybridMultilevel"/>
    <w:tmpl w:val="2A30F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DF2646"/>
    <w:multiLevelType w:val="hybridMultilevel"/>
    <w:tmpl w:val="E61A169C"/>
    <w:lvl w:ilvl="0" w:tplc="8738FC62">
      <w:numFmt w:val="bullet"/>
      <w:lvlText w:val=""/>
      <w:lvlJc w:val="left"/>
      <w:pPr>
        <w:ind w:left="-300" w:hanging="420"/>
      </w:pPr>
      <w:rPr>
        <w:rFonts w:ascii="Symbol" w:eastAsiaTheme="minorHAnsi" w:hAnsi="Symbol"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68A0D07"/>
    <w:multiLevelType w:val="multilevel"/>
    <w:tmpl w:val="F184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277239"/>
    <w:multiLevelType w:val="hybridMultilevel"/>
    <w:tmpl w:val="83D8914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082C45"/>
    <w:multiLevelType w:val="hybridMultilevel"/>
    <w:tmpl w:val="374A8E20"/>
    <w:lvl w:ilvl="0" w:tplc="8738FC62">
      <w:numFmt w:val="bullet"/>
      <w:lvlText w:val=""/>
      <w:lvlJc w:val="left"/>
      <w:pPr>
        <w:ind w:left="-300" w:hanging="420"/>
      </w:pPr>
      <w:rPr>
        <w:rFonts w:ascii="Symbol" w:eastAsiaTheme="minorHAnsi" w:hAnsi="Symbol"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18F56D1"/>
    <w:multiLevelType w:val="hybridMultilevel"/>
    <w:tmpl w:val="59F217BE"/>
    <w:lvl w:ilvl="0" w:tplc="8738FC62">
      <w:numFmt w:val="bullet"/>
      <w:lvlText w:val=""/>
      <w:lvlJc w:val="left"/>
      <w:pPr>
        <w:ind w:left="60" w:hanging="420"/>
      </w:pPr>
      <w:rPr>
        <w:rFonts w:ascii="Symbol" w:eastAsiaTheme="minorHAnsi" w:hAnsi="Symbol" w:cs="Arial" w:hint="default"/>
        <w:sz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73611DA1"/>
    <w:multiLevelType w:val="hybridMultilevel"/>
    <w:tmpl w:val="CC1A9D74"/>
    <w:lvl w:ilvl="0" w:tplc="8738FC62">
      <w:numFmt w:val="bullet"/>
      <w:lvlText w:val=""/>
      <w:lvlJc w:val="left"/>
      <w:pPr>
        <w:ind w:left="60" w:hanging="420"/>
      </w:pPr>
      <w:rPr>
        <w:rFonts w:ascii="Symbol" w:eastAsiaTheme="minorHAnsi"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7C1A0A"/>
    <w:multiLevelType w:val="hybridMultilevel"/>
    <w:tmpl w:val="B936CFB6"/>
    <w:lvl w:ilvl="0" w:tplc="8738FC62">
      <w:numFmt w:val="bullet"/>
      <w:lvlText w:val=""/>
      <w:lvlJc w:val="left"/>
      <w:pPr>
        <w:ind w:left="60" w:hanging="420"/>
      </w:pPr>
      <w:rPr>
        <w:rFonts w:ascii="Symbol" w:eastAsiaTheme="minorHAnsi"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804BD7"/>
    <w:multiLevelType w:val="hybridMultilevel"/>
    <w:tmpl w:val="6EA634CA"/>
    <w:lvl w:ilvl="0" w:tplc="8738FC62">
      <w:numFmt w:val="bullet"/>
      <w:lvlText w:val=""/>
      <w:lvlJc w:val="left"/>
      <w:pPr>
        <w:ind w:left="60" w:hanging="420"/>
      </w:pPr>
      <w:rPr>
        <w:rFonts w:ascii="Symbol" w:eastAsiaTheme="minorHAnsi" w:hAnsi="Symbo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B351F1"/>
    <w:multiLevelType w:val="hybridMultilevel"/>
    <w:tmpl w:val="489AAF40"/>
    <w:lvl w:ilvl="0" w:tplc="8738FC62">
      <w:numFmt w:val="bullet"/>
      <w:lvlText w:val=""/>
      <w:lvlJc w:val="left"/>
      <w:pPr>
        <w:ind w:left="60" w:hanging="420"/>
      </w:pPr>
      <w:rPr>
        <w:rFonts w:ascii="Symbol" w:eastAsiaTheme="minorHAnsi" w:hAnsi="Symbol" w:cs="Arial" w:hint="default"/>
        <w:sz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788F663C"/>
    <w:multiLevelType w:val="hybridMultilevel"/>
    <w:tmpl w:val="ACAE33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9"/>
  </w:num>
  <w:num w:numId="4">
    <w:abstractNumId w:val="13"/>
  </w:num>
  <w:num w:numId="5">
    <w:abstractNumId w:val="9"/>
  </w:num>
  <w:num w:numId="6">
    <w:abstractNumId w:val="16"/>
  </w:num>
  <w:num w:numId="7">
    <w:abstractNumId w:val="20"/>
  </w:num>
  <w:num w:numId="8">
    <w:abstractNumId w:val="22"/>
  </w:num>
  <w:num w:numId="9">
    <w:abstractNumId w:val="23"/>
  </w:num>
  <w:num w:numId="10">
    <w:abstractNumId w:val="21"/>
  </w:num>
  <w:num w:numId="11">
    <w:abstractNumId w:val="8"/>
  </w:num>
  <w:num w:numId="12">
    <w:abstractNumId w:val="0"/>
  </w:num>
  <w:num w:numId="13">
    <w:abstractNumId w:val="1"/>
  </w:num>
  <w:num w:numId="14">
    <w:abstractNumId w:val="18"/>
  </w:num>
  <w:num w:numId="15">
    <w:abstractNumId w:val="3"/>
  </w:num>
  <w:num w:numId="16">
    <w:abstractNumId w:val="11"/>
  </w:num>
  <w:num w:numId="17">
    <w:abstractNumId w:val="12"/>
  </w:num>
  <w:num w:numId="18">
    <w:abstractNumId w:val="5"/>
  </w:num>
  <w:num w:numId="19">
    <w:abstractNumId w:val="17"/>
  </w:num>
  <w:num w:numId="20">
    <w:abstractNumId w:val="10"/>
  </w:num>
  <w:num w:numId="21">
    <w:abstractNumId w:val="14"/>
  </w:num>
  <w:num w:numId="22">
    <w:abstractNumId w:val="4"/>
  </w:num>
  <w:num w:numId="23">
    <w:abstractNumId w:val="25"/>
  </w:num>
  <w:num w:numId="24">
    <w:abstractNumId w:val="6"/>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BDA"/>
    <w:rsid w:val="000026F2"/>
    <w:rsid w:val="00026EBB"/>
    <w:rsid w:val="00044002"/>
    <w:rsid w:val="00051CCB"/>
    <w:rsid w:val="0006730B"/>
    <w:rsid w:val="0019306A"/>
    <w:rsid w:val="001F62F0"/>
    <w:rsid w:val="002218ED"/>
    <w:rsid w:val="002352B9"/>
    <w:rsid w:val="00277E2F"/>
    <w:rsid w:val="002842FD"/>
    <w:rsid w:val="00293B8B"/>
    <w:rsid w:val="002C227B"/>
    <w:rsid w:val="002C4F76"/>
    <w:rsid w:val="002E7C2D"/>
    <w:rsid w:val="00314D57"/>
    <w:rsid w:val="003A49DE"/>
    <w:rsid w:val="003B6E04"/>
    <w:rsid w:val="0041657D"/>
    <w:rsid w:val="004366CD"/>
    <w:rsid w:val="00443B68"/>
    <w:rsid w:val="00457A57"/>
    <w:rsid w:val="004936FA"/>
    <w:rsid w:val="004C2533"/>
    <w:rsid w:val="00551D70"/>
    <w:rsid w:val="005F6D7F"/>
    <w:rsid w:val="006372B6"/>
    <w:rsid w:val="006876B6"/>
    <w:rsid w:val="006B2536"/>
    <w:rsid w:val="006D4FA6"/>
    <w:rsid w:val="006E4D9A"/>
    <w:rsid w:val="006E5FC0"/>
    <w:rsid w:val="007576CF"/>
    <w:rsid w:val="007C7DDE"/>
    <w:rsid w:val="007D5DA3"/>
    <w:rsid w:val="00980275"/>
    <w:rsid w:val="009D7284"/>
    <w:rsid w:val="009F0BDA"/>
    <w:rsid w:val="00A16A14"/>
    <w:rsid w:val="00A266DD"/>
    <w:rsid w:val="00A331AA"/>
    <w:rsid w:val="00A855B1"/>
    <w:rsid w:val="00A91324"/>
    <w:rsid w:val="00AC001D"/>
    <w:rsid w:val="00AE7EF7"/>
    <w:rsid w:val="00B862D1"/>
    <w:rsid w:val="00B90180"/>
    <w:rsid w:val="00BA4353"/>
    <w:rsid w:val="00BF5E14"/>
    <w:rsid w:val="00CA2346"/>
    <w:rsid w:val="00D16FBF"/>
    <w:rsid w:val="00DC0F96"/>
    <w:rsid w:val="00E13BCB"/>
    <w:rsid w:val="00E32863"/>
    <w:rsid w:val="00E428C6"/>
    <w:rsid w:val="00E56C33"/>
    <w:rsid w:val="00E93DC8"/>
    <w:rsid w:val="00EE5D05"/>
    <w:rsid w:val="00F34FBC"/>
    <w:rsid w:val="00F45816"/>
    <w:rsid w:val="00F470F2"/>
    <w:rsid w:val="00F5728C"/>
    <w:rsid w:val="00F6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DA"/>
    <w:pPr>
      <w:spacing w:after="0" w:line="240" w:lineRule="auto"/>
    </w:pPr>
    <w:rPr>
      <w:rFonts w:ascii="Times New Roman" w:hAnsi="Times New Roman" w:cs="Times New Roman"/>
      <w:sz w:val="24"/>
      <w:szCs w:val="24"/>
    </w:rPr>
  </w:style>
  <w:style w:type="paragraph" w:styleId="Heading6">
    <w:name w:val="heading 6"/>
    <w:basedOn w:val="Normal"/>
    <w:link w:val="Heading6Char"/>
    <w:uiPriority w:val="9"/>
    <w:qFormat/>
    <w:rsid w:val="00CA2346"/>
    <w:pPr>
      <w:spacing w:before="100" w:beforeAutospacing="1" w:after="100" w:afterAutospacing="1"/>
      <w:outlineLvl w:val="5"/>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BDA"/>
    <w:pPr>
      <w:ind w:left="720"/>
      <w:contextualSpacing/>
    </w:pPr>
  </w:style>
  <w:style w:type="paragraph" w:styleId="Header">
    <w:name w:val="header"/>
    <w:basedOn w:val="Normal"/>
    <w:link w:val="HeaderChar"/>
    <w:uiPriority w:val="99"/>
    <w:unhideWhenUsed/>
    <w:rsid w:val="00443B68"/>
    <w:pPr>
      <w:tabs>
        <w:tab w:val="center" w:pos="4680"/>
        <w:tab w:val="right" w:pos="9360"/>
      </w:tabs>
    </w:pPr>
  </w:style>
  <w:style w:type="character" w:customStyle="1" w:styleId="HeaderChar">
    <w:name w:val="Header Char"/>
    <w:basedOn w:val="DefaultParagraphFont"/>
    <w:link w:val="Header"/>
    <w:uiPriority w:val="99"/>
    <w:rsid w:val="00443B68"/>
    <w:rPr>
      <w:rFonts w:ascii="Times New Roman" w:hAnsi="Times New Roman" w:cs="Times New Roman"/>
      <w:sz w:val="24"/>
      <w:szCs w:val="24"/>
    </w:rPr>
  </w:style>
  <w:style w:type="paragraph" w:styleId="Footer">
    <w:name w:val="footer"/>
    <w:basedOn w:val="Normal"/>
    <w:link w:val="FooterChar"/>
    <w:uiPriority w:val="99"/>
    <w:unhideWhenUsed/>
    <w:rsid w:val="00443B68"/>
    <w:pPr>
      <w:tabs>
        <w:tab w:val="center" w:pos="4680"/>
        <w:tab w:val="right" w:pos="9360"/>
      </w:tabs>
    </w:pPr>
  </w:style>
  <w:style w:type="character" w:customStyle="1" w:styleId="FooterChar">
    <w:name w:val="Footer Char"/>
    <w:basedOn w:val="DefaultParagraphFont"/>
    <w:link w:val="Footer"/>
    <w:uiPriority w:val="99"/>
    <w:rsid w:val="00443B6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A4353"/>
    <w:rPr>
      <w:rFonts w:ascii="Tahoma" w:hAnsi="Tahoma" w:cs="Tahoma"/>
      <w:sz w:val="16"/>
      <w:szCs w:val="16"/>
    </w:rPr>
  </w:style>
  <w:style w:type="character" w:customStyle="1" w:styleId="BalloonTextChar">
    <w:name w:val="Balloon Text Char"/>
    <w:basedOn w:val="DefaultParagraphFont"/>
    <w:link w:val="BalloonText"/>
    <w:uiPriority w:val="99"/>
    <w:semiHidden/>
    <w:rsid w:val="00BA4353"/>
    <w:rPr>
      <w:rFonts w:ascii="Tahoma" w:hAnsi="Tahoma" w:cs="Tahoma"/>
      <w:sz w:val="16"/>
      <w:szCs w:val="16"/>
    </w:rPr>
  </w:style>
  <w:style w:type="character" w:styleId="Hyperlink">
    <w:name w:val="Hyperlink"/>
    <w:basedOn w:val="DefaultParagraphFont"/>
    <w:uiPriority w:val="99"/>
    <w:unhideWhenUsed/>
    <w:rsid w:val="00B90180"/>
    <w:rPr>
      <w:color w:val="0000FF" w:themeColor="hyperlink"/>
      <w:u w:val="single"/>
    </w:rPr>
  </w:style>
  <w:style w:type="character" w:customStyle="1" w:styleId="Heading6Char">
    <w:name w:val="Heading 6 Char"/>
    <w:basedOn w:val="DefaultParagraphFont"/>
    <w:link w:val="Heading6"/>
    <w:uiPriority w:val="9"/>
    <w:rsid w:val="00CA2346"/>
    <w:rPr>
      <w:rFonts w:ascii="Times New Roman" w:eastAsia="Times New Roman" w:hAnsi="Times New Roman" w:cs="Times New Roman"/>
      <w:b/>
      <w:bCs/>
      <w:sz w:val="15"/>
      <w:szCs w:val="15"/>
    </w:rPr>
  </w:style>
  <w:style w:type="character" w:styleId="Strong">
    <w:name w:val="Strong"/>
    <w:basedOn w:val="DefaultParagraphFont"/>
    <w:uiPriority w:val="22"/>
    <w:qFormat/>
    <w:rsid w:val="00CA2346"/>
    <w:rPr>
      <w:b/>
      <w:bCs/>
    </w:rPr>
  </w:style>
  <w:style w:type="paragraph" w:styleId="NormalWeb">
    <w:name w:val="Normal (Web)"/>
    <w:basedOn w:val="Normal"/>
    <w:uiPriority w:val="99"/>
    <w:unhideWhenUsed/>
    <w:rsid w:val="00CA2346"/>
    <w:pPr>
      <w:spacing w:before="100" w:beforeAutospacing="1" w:after="100" w:afterAutospacing="1"/>
    </w:pPr>
    <w:rPr>
      <w:rFonts w:eastAsia="Times New Roman"/>
    </w:rPr>
  </w:style>
  <w:style w:type="paragraph" w:customStyle="1" w:styleId="marked">
    <w:name w:val="marked"/>
    <w:basedOn w:val="Normal"/>
    <w:rsid w:val="00CA2346"/>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DA"/>
    <w:pPr>
      <w:spacing w:after="0" w:line="240" w:lineRule="auto"/>
    </w:pPr>
    <w:rPr>
      <w:rFonts w:ascii="Times New Roman" w:hAnsi="Times New Roman" w:cs="Times New Roman"/>
      <w:sz w:val="24"/>
      <w:szCs w:val="24"/>
    </w:rPr>
  </w:style>
  <w:style w:type="paragraph" w:styleId="Heading6">
    <w:name w:val="heading 6"/>
    <w:basedOn w:val="Normal"/>
    <w:link w:val="Heading6Char"/>
    <w:uiPriority w:val="9"/>
    <w:qFormat/>
    <w:rsid w:val="00CA2346"/>
    <w:pPr>
      <w:spacing w:before="100" w:beforeAutospacing="1" w:after="100" w:afterAutospacing="1"/>
      <w:outlineLvl w:val="5"/>
    </w:pPr>
    <w:rPr>
      <w:rFonts w:eastAsia="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BDA"/>
    <w:pPr>
      <w:ind w:left="720"/>
      <w:contextualSpacing/>
    </w:pPr>
  </w:style>
  <w:style w:type="paragraph" w:styleId="Header">
    <w:name w:val="header"/>
    <w:basedOn w:val="Normal"/>
    <w:link w:val="HeaderChar"/>
    <w:uiPriority w:val="99"/>
    <w:unhideWhenUsed/>
    <w:rsid w:val="00443B68"/>
    <w:pPr>
      <w:tabs>
        <w:tab w:val="center" w:pos="4680"/>
        <w:tab w:val="right" w:pos="9360"/>
      </w:tabs>
    </w:pPr>
  </w:style>
  <w:style w:type="character" w:customStyle="1" w:styleId="HeaderChar">
    <w:name w:val="Header Char"/>
    <w:basedOn w:val="DefaultParagraphFont"/>
    <w:link w:val="Header"/>
    <w:uiPriority w:val="99"/>
    <w:rsid w:val="00443B68"/>
    <w:rPr>
      <w:rFonts w:ascii="Times New Roman" w:hAnsi="Times New Roman" w:cs="Times New Roman"/>
      <w:sz w:val="24"/>
      <w:szCs w:val="24"/>
    </w:rPr>
  </w:style>
  <w:style w:type="paragraph" w:styleId="Footer">
    <w:name w:val="footer"/>
    <w:basedOn w:val="Normal"/>
    <w:link w:val="FooterChar"/>
    <w:uiPriority w:val="99"/>
    <w:unhideWhenUsed/>
    <w:rsid w:val="00443B68"/>
    <w:pPr>
      <w:tabs>
        <w:tab w:val="center" w:pos="4680"/>
        <w:tab w:val="right" w:pos="9360"/>
      </w:tabs>
    </w:pPr>
  </w:style>
  <w:style w:type="character" w:customStyle="1" w:styleId="FooterChar">
    <w:name w:val="Footer Char"/>
    <w:basedOn w:val="DefaultParagraphFont"/>
    <w:link w:val="Footer"/>
    <w:uiPriority w:val="99"/>
    <w:rsid w:val="00443B6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A4353"/>
    <w:rPr>
      <w:rFonts w:ascii="Tahoma" w:hAnsi="Tahoma" w:cs="Tahoma"/>
      <w:sz w:val="16"/>
      <w:szCs w:val="16"/>
    </w:rPr>
  </w:style>
  <w:style w:type="character" w:customStyle="1" w:styleId="BalloonTextChar">
    <w:name w:val="Balloon Text Char"/>
    <w:basedOn w:val="DefaultParagraphFont"/>
    <w:link w:val="BalloonText"/>
    <w:uiPriority w:val="99"/>
    <w:semiHidden/>
    <w:rsid w:val="00BA4353"/>
    <w:rPr>
      <w:rFonts w:ascii="Tahoma" w:hAnsi="Tahoma" w:cs="Tahoma"/>
      <w:sz w:val="16"/>
      <w:szCs w:val="16"/>
    </w:rPr>
  </w:style>
  <w:style w:type="character" w:styleId="Hyperlink">
    <w:name w:val="Hyperlink"/>
    <w:basedOn w:val="DefaultParagraphFont"/>
    <w:uiPriority w:val="99"/>
    <w:unhideWhenUsed/>
    <w:rsid w:val="00B90180"/>
    <w:rPr>
      <w:color w:val="0000FF" w:themeColor="hyperlink"/>
      <w:u w:val="single"/>
    </w:rPr>
  </w:style>
  <w:style w:type="character" w:customStyle="1" w:styleId="Heading6Char">
    <w:name w:val="Heading 6 Char"/>
    <w:basedOn w:val="DefaultParagraphFont"/>
    <w:link w:val="Heading6"/>
    <w:uiPriority w:val="9"/>
    <w:rsid w:val="00CA2346"/>
    <w:rPr>
      <w:rFonts w:ascii="Times New Roman" w:eastAsia="Times New Roman" w:hAnsi="Times New Roman" w:cs="Times New Roman"/>
      <w:b/>
      <w:bCs/>
      <w:sz w:val="15"/>
      <w:szCs w:val="15"/>
    </w:rPr>
  </w:style>
  <w:style w:type="character" w:styleId="Strong">
    <w:name w:val="Strong"/>
    <w:basedOn w:val="DefaultParagraphFont"/>
    <w:uiPriority w:val="22"/>
    <w:qFormat/>
    <w:rsid w:val="00CA2346"/>
    <w:rPr>
      <w:b/>
      <w:bCs/>
    </w:rPr>
  </w:style>
  <w:style w:type="paragraph" w:styleId="NormalWeb">
    <w:name w:val="Normal (Web)"/>
    <w:basedOn w:val="Normal"/>
    <w:uiPriority w:val="99"/>
    <w:unhideWhenUsed/>
    <w:rsid w:val="00CA2346"/>
    <w:pPr>
      <w:spacing w:before="100" w:beforeAutospacing="1" w:after="100" w:afterAutospacing="1"/>
    </w:pPr>
    <w:rPr>
      <w:rFonts w:eastAsia="Times New Roman"/>
    </w:rPr>
  </w:style>
  <w:style w:type="paragraph" w:customStyle="1" w:styleId="marked">
    <w:name w:val="marked"/>
    <w:basedOn w:val="Normal"/>
    <w:rsid w:val="00CA234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58179">
      <w:bodyDiv w:val="1"/>
      <w:marLeft w:val="0"/>
      <w:marRight w:val="0"/>
      <w:marTop w:val="0"/>
      <w:marBottom w:val="0"/>
      <w:divBdr>
        <w:top w:val="none" w:sz="0" w:space="0" w:color="auto"/>
        <w:left w:val="none" w:sz="0" w:space="0" w:color="auto"/>
        <w:bottom w:val="none" w:sz="0" w:space="0" w:color="auto"/>
        <w:right w:val="none" w:sz="0" w:space="0" w:color="auto"/>
      </w:divBdr>
      <w:divsChild>
        <w:div w:id="1848597511">
          <w:marLeft w:val="0"/>
          <w:marRight w:val="0"/>
          <w:marTop w:val="0"/>
          <w:marBottom w:val="0"/>
          <w:divBdr>
            <w:top w:val="none" w:sz="0" w:space="0" w:color="auto"/>
            <w:left w:val="none" w:sz="0" w:space="0" w:color="auto"/>
            <w:bottom w:val="none" w:sz="0" w:space="0" w:color="auto"/>
            <w:right w:val="none" w:sz="0" w:space="0" w:color="auto"/>
          </w:divBdr>
        </w:div>
      </w:divsChild>
    </w:div>
    <w:div w:id="434640466">
      <w:bodyDiv w:val="1"/>
      <w:marLeft w:val="0"/>
      <w:marRight w:val="0"/>
      <w:marTop w:val="0"/>
      <w:marBottom w:val="0"/>
      <w:divBdr>
        <w:top w:val="none" w:sz="0" w:space="0" w:color="auto"/>
        <w:left w:val="none" w:sz="0" w:space="0" w:color="auto"/>
        <w:bottom w:val="none" w:sz="0" w:space="0" w:color="auto"/>
        <w:right w:val="none" w:sz="0" w:space="0" w:color="auto"/>
      </w:divBdr>
      <w:divsChild>
        <w:div w:id="974793331">
          <w:marLeft w:val="0"/>
          <w:marRight w:val="0"/>
          <w:marTop w:val="0"/>
          <w:marBottom w:val="0"/>
          <w:divBdr>
            <w:top w:val="none" w:sz="0" w:space="0" w:color="auto"/>
            <w:left w:val="none" w:sz="0" w:space="0" w:color="auto"/>
            <w:bottom w:val="none" w:sz="0" w:space="0" w:color="auto"/>
            <w:right w:val="none" w:sz="0" w:space="0" w:color="auto"/>
          </w:divBdr>
          <w:divsChild>
            <w:div w:id="2059159015">
              <w:marLeft w:val="0"/>
              <w:marRight w:val="0"/>
              <w:marTop w:val="0"/>
              <w:marBottom w:val="0"/>
              <w:divBdr>
                <w:top w:val="none" w:sz="0" w:space="0" w:color="auto"/>
                <w:left w:val="none" w:sz="0" w:space="0" w:color="auto"/>
                <w:bottom w:val="none" w:sz="0" w:space="0" w:color="auto"/>
                <w:right w:val="none" w:sz="0" w:space="0" w:color="auto"/>
              </w:divBdr>
              <w:divsChild>
                <w:div w:id="2104260559">
                  <w:marLeft w:val="0"/>
                  <w:marRight w:val="0"/>
                  <w:marTop w:val="0"/>
                  <w:marBottom w:val="0"/>
                  <w:divBdr>
                    <w:top w:val="none" w:sz="0" w:space="0" w:color="auto"/>
                    <w:left w:val="none" w:sz="0" w:space="0" w:color="auto"/>
                    <w:bottom w:val="none" w:sz="0" w:space="0" w:color="auto"/>
                    <w:right w:val="none" w:sz="0" w:space="0" w:color="auto"/>
                  </w:divBdr>
                  <w:divsChild>
                    <w:div w:id="124931224">
                      <w:marLeft w:val="0"/>
                      <w:marRight w:val="0"/>
                      <w:marTop w:val="0"/>
                      <w:marBottom w:val="0"/>
                      <w:divBdr>
                        <w:top w:val="none" w:sz="0" w:space="0" w:color="auto"/>
                        <w:left w:val="none" w:sz="0" w:space="0" w:color="auto"/>
                        <w:bottom w:val="none" w:sz="0" w:space="0" w:color="auto"/>
                        <w:right w:val="none" w:sz="0" w:space="0" w:color="auto"/>
                      </w:divBdr>
                      <w:divsChild>
                        <w:div w:id="2128307941">
                          <w:marLeft w:val="0"/>
                          <w:marRight w:val="0"/>
                          <w:marTop w:val="0"/>
                          <w:marBottom w:val="0"/>
                          <w:divBdr>
                            <w:top w:val="none" w:sz="0" w:space="0" w:color="auto"/>
                            <w:left w:val="none" w:sz="0" w:space="0" w:color="auto"/>
                            <w:bottom w:val="none" w:sz="0" w:space="0" w:color="auto"/>
                            <w:right w:val="none" w:sz="0" w:space="0" w:color="auto"/>
                          </w:divBdr>
                          <w:divsChild>
                            <w:div w:id="1650480407">
                              <w:marLeft w:val="0"/>
                              <w:marRight w:val="0"/>
                              <w:marTop w:val="0"/>
                              <w:marBottom w:val="0"/>
                              <w:divBdr>
                                <w:top w:val="none" w:sz="0" w:space="0" w:color="auto"/>
                                <w:left w:val="none" w:sz="0" w:space="0" w:color="auto"/>
                                <w:bottom w:val="none" w:sz="0" w:space="0" w:color="auto"/>
                                <w:right w:val="none" w:sz="0" w:space="0" w:color="auto"/>
                              </w:divBdr>
                              <w:divsChild>
                                <w:div w:id="5969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222471">
      <w:bodyDiv w:val="1"/>
      <w:marLeft w:val="0"/>
      <w:marRight w:val="0"/>
      <w:marTop w:val="0"/>
      <w:marBottom w:val="0"/>
      <w:divBdr>
        <w:top w:val="none" w:sz="0" w:space="0" w:color="auto"/>
        <w:left w:val="none" w:sz="0" w:space="0" w:color="auto"/>
        <w:bottom w:val="none" w:sz="0" w:space="0" w:color="auto"/>
        <w:right w:val="none" w:sz="0" w:space="0" w:color="auto"/>
      </w:divBdr>
    </w:div>
    <w:div w:id="1144396610">
      <w:bodyDiv w:val="1"/>
      <w:marLeft w:val="0"/>
      <w:marRight w:val="0"/>
      <w:marTop w:val="0"/>
      <w:marBottom w:val="0"/>
      <w:divBdr>
        <w:top w:val="none" w:sz="0" w:space="0" w:color="auto"/>
        <w:left w:val="none" w:sz="0" w:space="0" w:color="auto"/>
        <w:bottom w:val="none" w:sz="0" w:space="0" w:color="auto"/>
        <w:right w:val="none" w:sz="0" w:space="0" w:color="auto"/>
      </w:divBdr>
      <w:divsChild>
        <w:div w:id="1572496343">
          <w:marLeft w:val="0"/>
          <w:marRight w:val="0"/>
          <w:marTop w:val="0"/>
          <w:marBottom w:val="0"/>
          <w:divBdr>
            <w:top w:val="none" w:sz="0" w:space="0" w:color="auto"/>
            <w:left w:val="none" w:sz="0" w:space="0" w:color="auto"/>
            <w:bottom w:val="none" w:sz="0" w:space="0" w:color="auto"/>
            <w:right w:val="none" w:sz="0" w:space="0" w:color="auto"/>
          </w:divBdr>
          <w:divsChild>
            <w:div w:id="1757479628">
              <w:marLeft w:val="0"/>
              <w:marRight w:val="0"/>
              <w:marTop w:val="0"/>
              <w:marBottom w:val="0"/>
              <w:divBdr>
                <w:top w:val="none" w:sz="0" w:space="0" w:color="auto"/>
                <w:left w:val="none" w:sz="0" w:space="0" w:color="auto"/>
                <w:bottom w:val="none" w:sz="0" w:space="0" w:color="auto"/>
                <w:right w:val="none" w:sz="0" w:space="0" w:color="auto"/>
              </w:divBdr>
              <w:divsChild>
                <w:div w:id="275868632">
                  <w:marLeft w:val="0"/>
                  <w:marRight w:val="0"/>
                  <w:marTop w:val="0"/>
                  <w:marBottom w:val="0"/>
                  <w:divBdr>
                    <w:top w:val="none" w:sz="0" w:space="0" w:color="auto"/>
                    <w:left w:val="none" w:sz="0" w:space="0" w:color="auto"/>
                    <w:bottom w:val="none" w:sz="0" w:space="0" w:color="auto"/>
                    <w:right w:val="none" w:sz="0" w:space="0" w:color="auto"/>
                  </w:divBdr>
                </w:div>
                <w:div w:id="1427992141">
                  <w:marLeft w:val="0"/>
                  <w:marRight w:val="0"/>
                  <w:marTop w:val="0"/>
                  <w:marBottom w:val="150"/>
                  <w:divBdr>
                    <w:top w:val="none" w:sz="0" w:space="0" w:color="auto"/>
                    <w:left w:val="none" w:sz="0" w:space="0" w:color="auto"/>
                    <w:bottom w:val="none" w:sz="0" w:space="0" w:color="auto"/>
                    <w:right w:val="none" w:sz="0" w:space="0" w:color="auto"/>
                  </w:divBdr>
                </w:div>
              </w:divsChild>
            </w:div>
            <w:div w:id="1737126792">
              <w:marLeft w:val="0"/>
              <w:marRight w:val="0"/>
              <w:marTop w:val="0"/>
              <w:marBottom w:val="0"/>
              <w:divBdr>
                <w:top w:val="none" w:sz="0" w:space="0" w:color="auto"/>
                <w:left w:val="none" w:sz="0" w:space="0" w:color="auto"/>
                <w:bottom w:val="none" w:sz="0" w:space="0" w:color="auto"/>
                <w:right w:val="none" w:sz="0" w:space="0" w:color="auto"/>
              </w:divBdr>
              <w:divsChild>
                <w:div w:id="15093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sneramper.com/services/personal_wealth_advisors/" TargetMode="External"/><Relationship Id="rId18" Type="http://schemas.openxmlformats.org/officeDocument/2006/relationships/hyperlink" Target="http://www.eisneramper.com/services/audit_and_assurance/" TargetMode="External"/><Relationship Id="rId26" Type="http://schemas.openxmlformats.org/officeDocument/2006/relationships/hyperlink" Target="http://www.eisneramper.com/services/Risk_Advisory_Services.asp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isneramper.com/industries/financial_services/hedge_funds/" TargetMode="External"/><Relationship Id="rId34" Type="http://schemas.openxmlformats.org/officeDocument/2006/relationships/hyperlink" Target="http://www.eisneramper.com/industries/life_sciences/" TargetMode="External"/><Relationship Id="rId7" Type="http://schemas.openxmlformats.org/officeDocument/2006/relationships/footnotes" Target="footnotes.xml"/><Relationship Id="rId12" Type="http://schemas.openxmlformats.org/officeDocument/2006/relationships/hyperlink" Target="mailto:Timothy.speiss@eisneramper.com" TargetMode="External"/><Relationship Id="rId17" Type="http://schemas.openxmlformats.org/officeDocument/2006/relationships/hyperlink" Target="http://www.eisneramper.com/services/employee_benefit_plan_audits/audit/" TargetMode="External"/><Relationship Id="rId25" Type="http://schemas.openxmlformats.org/officeDocument/2006/relationships/hyperlink" Target="http://www.eisneramper.com/services/tax_services/estates_trusts_and_private_foundations/" TargetMode="External"/><Relationship Id="rId33" Type="http://schemas.openxmlformats.org/officeDocument/2006/relationships/hyperlink" Target="http://www.eisneramper.com/services/litigation_consulting_and_forensic_accounting/commercial_litigation/royalty_audits/" TargetMode="External"/><Relationship Id="rId38" Type="http://schemas.openxmlformats.org/officeDocument/2006/relationships/hyperlink" Target="http://www.lifehealthpro.com/2013/09/16/6-trusts-you-should-know-about?page=3" TargetMode="External"/><Relationship Id="rId2" Type="http://schemas.openxmlformats.org/officeDocument/2006/relationships/numbering" Target="numbering.xml"/><Relationship Id="rId16" Type="http://schemas.openxmlformats.org/officeDocument/2006/relationships/hyperlink" Target="http://eisneramper.com/newsDetail.aspx?id=1296" TargetMode="External"/><Relationship Id="rId20" Type="http://schemas.openxmlformats.org/officeDocument/2006/relationships/hyperlink" Target="http://www.eisneramper.com/industries/financial_services/" TargetMode="External"/><Relationship Id="rId29" Type="http://schemas.openxmlformats.org/officeDocument/2006/relationships/hyperlink" Target="http://www.eisneramper.com/services/Human_Capital_Advisory_Services.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eisneramper.com/services/international_services/" TargetMode="External"/><Relationship Id="rId32" Type="http://schemas.openxmlformats.org/officeDocument/2006/relationships/hyperlink" Target="http://www.eisneramper.com/services/litigation_consulting_and_forensic_accounting/" TargetMode="External"/><Relationship Id="rId37" Type="http://schemas.openxmlformats.org/officeDocument/2006/relationships/hyperlink" Target="http://www.eisneramper.com/services/accounting_services/"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isneramper.com/industries/nonprofit_organizations/" TargetMode="External"/><Relationship Id="rId23" Type="http://schemas.openxmlformats.org/officeDocument/2006/relationships/hyperlink" Target="http://www.eisneramper.com/Industries/Financial_Services/Capital_Markets/Insurance_Industry/" TargetMode="External"/><Relationship Id="rId28" Type="http://schemas.openxmlformats.org/officeDocument/2006/relationships/hyperlink" Target="http://www.eisneramper.com/services/tax_services/international_tax_services/" TargetMode="External"/><Relationship Id="rId36" Type="http://schemas.openxmlformats.org/officeDocument/2006/relationships/hyperlink" Target="http://www.eisneramper.com/industries/nonprofit_organizations/" TargetMode="External"/><Relationship Id="rId10" Type="http://schemas.openxmlformats.org/officeDocument/2006/relationships/hyperlink" Target="http://www.eisneramper.com/" TargetMode="External"/><Relationship Id="rId19" Type="http://schemas.openxmlformats.org/officeDocument/2006/relationships/hyperlink" Target="http://www.eisneramper.com/services/tax_services/" TargetMode="External"/><Relationship Id="rId31" Type="http://schemas.openxmlformats.org/officeDocument/2006/relationships/hyperlink" Target="http://www.eisnerfundservices.com/" TargetMode="External"/><Relationship Id="rId4" Type="http://schemas.microsoft.com/office/2007/relationships/stylesWithEffects" Target="stylesWithEffects.xml"/><Relationship Id="rId9" Type="http://schemas.openxmlformats.org/officeDocument/2006/relationships/hyperlink" Target="mailto:Timothy.speiss@eisneramper.com" TargetMode="External"/><Relationship Id="rId14" Type="http://schemas.openxmlformats.org/officeDocument/2006/relationships/hyperlink" Target="http://www.eisneramper.com/services/tax_services/" TargetMode="External"/><Relationship Id="rId22" Type="http://schemas.openxmlformats.org/officeDocument/2006/relationships/hyperlink" Target="http://www.eisneramper.com/industries/financial_services/private_equity/" TargetMode="External"/><Relationship Id="rId27" Type="http://schemas.openxmlformats.org/officeDocument/2006/relationships/hyperlink" Target="http://www.eisneramper.com/services/internal_audit_and_risk_management/internal_audit/" TargetMode="External"/><Relationship Id="rId30" Type="http://schemas.openxmlformats.org/officeDocument/2006/relationships/hyperlink" Target="http://www.eisneramper.com/services/employee_benefit_plan_audits/audit/" TargetMode="External"/><Relationship Id="rId35" Type="http://schemas.openxmlformats.org/officeDocument/2006/relationships/hyperlink" Target="http://www.eisneramper.com/industries/technology_companies/clean_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D02E-F5B4-48C8-A0A6-F032CB17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3609</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EisnerAmper LLP</Company>
  <LinksUpToDate>false</LinksUpToDate>
  <CharactersWithSpaces>24138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Speiss, Timothy</dc:creator>
  <cp:lastModifiedBy>Speiss, Timothy</cp:lastModifiedBy>
  <cp:revision>2</cp:revision>
  <cp:lastPrinted>2015-05-14T13:57:00Z</cp:lastPrinted>
  <dcterms:created xsi:type="dcterms:W3CDTF">2015-05-14T18:35:00Z</dcterms:created>
  <dcterms:modified xsi:type="dcterms:W3CDTF">2015-05-14T18:35:00Z</dcterms:modified>
</cp:coreProperties>
</file>